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pStyle w:val="P1"/>
        <w:jc w:val="center"/>
      </w:pPr>
      <w:r>
        <w:t>L’ UNIONE EUROPEA</w:t>
      </w:r>
    </w:p>
    <w:p>
      <w:pPr>
        <w:pStyle w:val="P2"/>
        <w:jc w:val="center"/>
      </w:pPr>
      <w:r>
        <w:t xml:space="preserve">CHE COS’E’ L’UNIONE EUROPEA 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b w:val="1"/>
          <w:bCs w:val="1"/>
          <w:sz w:val="32"/>
          <w:szCs w:val="32"/>
        </w:rPr>
        <w:t xml:space="preserve">Unione europea </w:t>
      </w:r>
      <w:r>
        <w:rPr>
          <w:sz w:val="32"/>
          <w:szCs w:val="32"/>
        </w:rPr>
        <w:t xml:space="preserve">è un’organizzazione cui appartengono </w:t>
      </w:r>
      <w:r>
        <w:rPr>
          <w:b w:val="1"/>
          <w:bCs w:val="1"/>
          <w:sz w:val="32"/>
          <w:szCs w:val="32"/>
        </w:rPr>
        <w:t>2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7</w:t>
      </w:r>
      <w:r>
        <w:rPr>
          <w:b w:val="1"/>
          <w:bCs w:val="1"/>
          <w:sz w:val="32"/>
          <w:szCs w:val="32"/>
        </w:rPr>
        <w:t xml:space="preserve"> Stati</w:t>
      </w:r>
      <w:r>
        <w:rPr>
          <w:sz w:val="32"/>
          <w:szCs w:val="32"/>
        </w:rPr>
        <w:t xml:space="preserve"> del continente europeo. Il suo obiettivo è quello di </w:t>
      </w:r>
      <w:r>
        <w:rPr>
          <w:b w:val="1"/>
          <w:bCs w:val="1"/>
          <w:sz w:val="32"/>
          <w:szCs w:val="32"/>
        </w:rPr>
        <w:t>favorire l’integrazione economica e sociale</w:t>
      </w:r>
      <w:r>
        <w:rPr>
          <w:sz w:val="32"/>
          <w:szCs w:val="32"/>
        </w:rPr>
        <w:t xml:space="preserve"> dei paesi che vi aderiscono. Il nome </w:t>
      </w:r>
      <w:r>
        <w:rPr>
          <w:b w:val="1"/>
          <w:bCs w:val="1"/>
          <w:sz w:val="32"/>
          <w:szCs w:val="32"/>
        </w:rPr>
        <w:t>Unione europea</w:t>
      </w:r>
      <w:r>
        <w:rPr>
          <w:sz w:val="32"/>
          <w:szCs w:val="32"/>
        </w:rPr>
        <w:t xml:space="preserve"> è stato adottato nel 1993. Prima, l’organizzazione era nota come Comunità europea (CE) e prima ancora come </w:t>
      </w:r>
      <w:r>
        <w:rPr>
          <w:b w:val="1"/>
          <w:bCs w:val="1"/>
          <w:sz w:val="32"/>
          <w:szCs w:val="32"/>
        </w:rPr>
        <w:t>Comunità economica europea (CEE)</w:t>
      </w:r>
      <w:r>
        <w:rPr>
          <w:sz w:val="32"/>
          <w:szCs w:val="32"/>
        </w:rPr>
        <w:t xml:space="preserve">. Altre organizzazioni europee erano la </w:t>
      </w:r>
      <w:r>
        <w:rPr>
          <w:b w:val="1"/>
          <w:bCs w:val="1"/>
          <w:sz w:val="32"/>
          <w:szCs w:val="32"/>
        </w:rPr>
        <w:t>Comunità europea del carbone e dell</w:t>
      </w:r>
      <w:r>
        <w:rPr>
          <w:rFonts w:ascii="Calibri" w:hAnsi="Calibri" w:cs="Calibri"/>
          <w:b w:val="1"/>
          <w:bCs w:val="1"/>
          <w:sz w:val="32"/>
          <w:szCs w:val="32"/>
        </w:rPr>
        <w:t>’</w:t>
      </w:r>
      <w:r>
        <w:rPr>
          <w:b w:val="1"/>
          <w:bCs w:val="1"/>
          <w:sz w:val="32"/>
          <w:szCs w:val="32"/>
        </w:rPr>
        <w:t>acciaio (CECA)</w:t>
      </w:r>
      <w:r>
        <w:rPr>
          <w:sz w:val="32"/>
          <w:szCs w:val="32"/>
        </w:rPr>
        <w:t xml:space="preserve"> e la </w:t>
      </w:r>
      <w:r>
        <w:rPr>
          <w:b w:val="1"/>
          <w:bCs w:val="1"/>
          <w:sz w:val="32"/>
          <w:szCs w:val="32"/>
        </w:rPr>
        <w:t>Comunità europea dell’energia atomica (CEEA o Euratom)</w:t>
      </w:r>
      <w:r>
        <w:rPr>
          <w:sz w:val="32"/>
          <w:szCs w:val="32"/>
        </w:rPr>
        <w:t xml:space="preserve">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Nel corso degli anni i progressi del processo di integrazione tra i vari Stati europei hanno semplificato questo insieme di organizzazioni: molte di loro sono scomparse e le loro competenze sono state trasferite all’Unione europea.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pStyle w:val="P2"/>
        <w:jc w:val="center"/>
      </w:pPr>
      <w:r>
        <w:t>COME NASCE L’UNIONE EUROPEA?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L’idea di costruire un’Europa unita nacque subito dopo la fine della Seconda guerra mondiale: riunire i singoli Stati in una struttura collaborativa per perseguire interessi comuni sembr</w:t>
      </w:r>
      <w:r>
        <w:rPr>
          <w:rFonts w:ascii="Calibri" w:hAnsi="Calibri" w:cs="Calibri"/>
          <w:sz w:val="32"/>
          <w:szCs w:val="32"/>
        </w:rPr>
        <w:t>ò</w:t>
      </w:r>
      <w:r>
        <w:rPr>
          <w:sz w:val="32"/>
          <w:szCs w:val="32"/>
        </w:rPr>
        <w:t xml:space="preserve"> la sola strada per allontanare definitivamente le ombre di nuove guerre sul continente.</w:t>
      </w:r>
    </w:p>
    <w:p>
      <w:pPr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</w:rPr>
        <w:t>LA CECA (La Comunità europea del carbone e dell’acciaio)</w:t>
      </w:r>
    </w:p>
    <w:p>
      <w:pPr>
        <w:ind w:left="0"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L’iniziativa fu presa dalla Francia</w:t>
      </w:r>
      <w:r>
        <w:rPr>
          <w:sz w:val="32"/>
          <w:szCs w:val="32"/>
        </w:rPr>
        <w:t xml:space="preserve">. Il 9 maggio 1950 il ministro degli esteri di Parigi, </w:t>
      </w:r>
      <w:r>
        <w:rPr>
          <w:b w:val="1"/>
          <w:bCs w:val="1"/>
          <w:sz w:val="32"/>
          <w:szCs w:val="32"/>
        </w:rPr>
        <w:t>Robert Schuman</w:t>
      </w:r>
      <w:r>
        <w:rPr>
          <w:sz w:val="32"/>
          <w:szCs w:val="32"/>
        </w:rPr>
        <w:t xml:space="preserve"> propose di porre la produzione francese e tedesca del carbone e dell’acciaio sotto il controllo di un’organizzazione comune, di cui avrebbero potuto far parte anche altri Stati europei. L’obiettivo di Schuman era quello di avviare una collaborazione tra </w:t>
      </w:r>
      <w:r>
        <w:rPr>
          <w:b w:val="1"/>
          <w:bCs w:val="1"/>
          <w:sz w:val="32"/>
          <w:szCs w:val="32"/>
        </w:rPr>
        <w:t>Francia</w:t>
      </w:r>
      <w:r>
        <w:rPr>
          <w:sz w:val="32"/>
          <w:szCs w:val="32"/>
        </w:rPr>
        <w:t xml:space="preserve"> e </w:t>
      </w:r>
      <w:r>
        <w:rPr>
          <w:b w:val="1"/>
          <w:bCs w:val="1"/>
          <w:sz w:val="32"/>
          <w:szCs w:val="32"/>
        </w:rPr>
        <w:t>Germania</w:t>
      </w:r>
      <w:r>
        <w:rPr>
          <w:sz w:val="32"/>
          <w:szCs w:val="32"/>
        </w:rPr>
        <w:t xml:space="preserve"> (i due paesi che pi</w:t>
      </w:r>
      <w:r>
        <w:rPr>
          <w:rFonts w:ascii="Calibri" w:hAnsi="Calibri" w:cs="Calibri"/>
          <w:sz w:val="32"/>
          <w:szCs w:val="32"/>
        </w:rPr>
        <w:t>ù</w:t>
      </w:r>
      <w:r>
        <w:rPr>
          <w:sz w:val="32"/>
          <w:szCs w:val="32"/>
        </w:rPr>
        <w:t xml:space="preserve"> degli altri erano stati responsabili dello scoppio delle due guerre mondiali) attraverso la gestione comune delle due principali risorse economiche del tempo. La costruzione di un’unione carbo-siderurgica avrebbe comportato la cessione di parte della sovranità degli Stati a un altro organismo, che avrebbe gestito in modo autonomo la politica riguardante il carbone e l’acciaio. </w:t>
      </w: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sz w:val="32"/>
          <w:szCs w:val="32"/>
        </w:rPr>
        <w:t xml:space="preserve">Alla “proposta Schuman” aderirono anche </w:t>
      </w:r>
      <w:r>
        <w:rPr>
          <w:b w:val="1"/>
          <w:bCs w:val="1"/>
          <w:sz w:val="32"/>
          <w:szCs w:val="32"/>
        </w:rPr>
        <w:t>Italia</w:t>
      </w:r>
      <w:r>
        <w:rPr>
          <w:sz w:val="32"/>
          <w:szCs w:val="32"/>
        </w:rPr>
        <w:t>,</w:t>
      </w:r>
      <w:r>
        <w:rPr>
          <w:b w:val="1"/>
          <w:bCs w:val="1"/>
          <w:sz w:val="32"/>
          <w:szCs w:val="32"/>
        </w:rPr>
        <w:t xml:space="preserve"> Belgio</w:t>
      </w:r>
      <w:r>
        <w:rPr>
          <w:sz w:val="32"/>
          <w:szCs w:val="32"/>
        </w:rPr>
        <w:t>,</w:t>
      </w:r>
      <w:r>
        <w:rPr>
          <w:b w:val="1"/>
          <w:bCs w:val="1"/>
          <w:sz w:val="32"/>
          <w:szCs w:val="32"/>
        </w:rPr>
        <w:t xml:space="preserve"> Lussemburgo </w:t>
      </w:r>
      <w:r>
        <w:rPr>
          <w:sz w:val="32"/>
          <w:szCs w:val="32"/>
        </w:rPr>
        <w:t xml:space="preserve">e </w:t>
      </w:r>
      <w:r>
        <w:rPr>
          <w:b w:val="1"/>
          <w:bCs w:val="1"/>
          <w:sz w:val="32"/>
          <w:szCs w:val="32"/>
        </w:rPr>
        <w:t>Paesi Bassi</w:t>
      </w:r>
      <w:r>
        <w:rPr>
          <w:sz w:val="32"/>
          <w:szCs w:val="32"/>
        </w:rPr>
        <w:t xml:space="preserve">. Nel </w:t>
      </w:r>
      <w:r>
        <w:rPr>
          <w:b w:val="1"/>
          <w:bCs w:val="1"/>
          <w:sz w:val="32"/>
          <w:szCs w:val="32"/>
        </w:rPr>
        <w:t xml:space="preserve">1951 </w:t>
      </w:r>
      <w:r>
        <w:rPr>
          <w:sz w:val="32"/>
          <w:szCs w:val="32"/>
        </w:rPr>
        <w:t xml:space="preserve">questi Paesi, con Francia e Germania, firmarono il </w:t>
      </w:r>
      <w:r>
        <w:rPr>
          <w:b w:val="1"/>
          <w:bCs w:val="1"/>
          <w:sz w:val="32"/>
          <w:szCs w:val="32"/>
        </w:rPr>
        <w:t>Trattato di Parigi</w:t>
      </w:r>
      <w:r>
        <w:rPr>
          <w:sz w:val="32"/>
          <w:szCs w:val="32"/>
        </w:rPr>
        <w:t xml:space="preserve">, che dava vita alla </w:t>
      </w:r>
      <w:r>
        <w:rPr>
          <w:b w:val="1"/>
          <w:bCs w:val="1"/>
          <w:sz w:val="32"/>
          <w:szCs w:val="32"/>
        </w:rPr>
        <w:t>Comunit</w:t>
      </w:r>
      <w:r>
        <w:rPr>
          <w:rFonts w:ascii="Calibri" w:hAnsi="Calibri" w:cs="Calibri"/>
          <w:b w:val="1"/>
          <w:bCs w:val="1"/>
          <w:sz w:val="32"/>
          <w:szCs w:val="32"/>
        </w:rPr>
        <w:t>à</w:t>
      </w:r>
      <w:r>
        <w:rPr>
          <w:b w:val="1"/>
          <w:bCs w:val="1"/>
          <w:sz w:val="32"/>
          <w:szCs w:val="32"/>
        </w:rPr>
        <w:t xml:space="preserve"> europea del carbone e dell’acciaio (CECA).</w:t>
      </w:r>
    </w:p>
    <w:p>
      <w:pPr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</w:rPr>
        <w:t>La CEE (la Comunità economica europea) e l’EURATOM (la Comunità europea dell’energia atomica)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positiva esperienza dei primi anni di attività della CECA indusse i governi degli Stati aderenti a promuovere nuove forme di integrazione. Pochi anni dopo i sei Stati membri della CECA avviarono le trattative per costituire altre due comunità. Il </w:t>
      </w:r>
      <w:r>
        <w:rPr>
          <w:b w:val="1"/>
          <w:bCs w:val="1"/>
          <w:sz w:val="32"/>
          <w:szCs w:val="32"/>
        </w:rPr>
        <w:t>25 marzo 1957</w:t>
      </w:r>
      <w:r>
        <w:rPr>
          <w:sz w:val="32"/>
          <w:szCs w:val="32"/>
        </w:rPr>
        <w:t xml:space="preserve"> nacquero, con i </w:t>
      </w:r>
      <w:r>
        <w:rPr>
          <w:b w:val="1"/>
          <w:bCs w:val="1"/>
          <w:sz w:val="32"/>
          <w:szCs w:val="32"/>
        </w:rPr>
        <w:t>Trattati di Roma</w:t>
      </w:r>
      <w:r>
        <w:rPr>
          <w:sz w:val="32"/>
          <w:szCs w:val="32"/>
        </w:rPr>
        <w:t xml:space="preserve">, la </w:t>
      </w:r>
      <w:r>
        <w:rPr>
          <w:b w:val="1"/>
          <w:bCs w:val="1"/>
          <w:sz w:val="32"/>
          <w:szCs w:val="32"/>
        </w:rPr>
        <w:t>Comunità europea dell’energia atomica (Euratom)</w:t>
      </w:r>
      <w:r>
        <w:rPr>
          <w:sz w:val="32"/>
          <w:szCs w:val="32"/>
        </w:rPr>
        <w:t xml:space="preserve"> e la </w:t>
      </w:r>
      <w:r>
        <w:rPr>
          <w:b w:val="1"/>
          <w:bCs w:val="1"/>
          <w:sz w:val="32"/>
          <w:szCs w:val="32"/>
        </w:rPr>
        <w:t>Comunità economica europea (CEE)</w:t>
      </w:r>
      <w:r>
        <w:rPr>
          <w:sz w:val="32"/>
          <w:szCs w:val="32"/>
        </w:rPr>
        <w:t xml:space="preserve">, che cominciarono la propria attività il </w:t>
      </w:r>
      <w:r>
        <w:rPr>
          <w:b w:val="1"/>
          <w:bCs w:val="1"/>
          <w:sz w:val="32"/>
          <w:szCs w:val="32"/>
        </w:rPr>
        <w:t>1° gennaio 1958</w:t>
      </w:r>
      <w:r>
        <w:rPr>
          <w:sz w:val="32"/>
          <w:szCs w:val="32"/>
        </w:rPr>
        <w:t xml:space="preserve">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La CEE inaugurava una politica di integrazione europea di più ampio respiro; l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 xml:space="preserve">obiettivo finale era quello di giungere in pochi anni alla creazione di un </w:t>
      </w:r>
      <w:r>
        <w:rPr>
          <w:b w:val="1"/>
          <w:bCs w:val="1"/>
          <w:sz w:val="32"/>
          <w:szCs w:val="32"/>
        </w:rPr>
        <w:t>mercato comune europeo</w:t>
      </w:r>
      <w:r>
        <w:rPr>
          <w:sz w:val="32"/>
          <w:szCs w:val="32"/>
        </w:rPr>
        <w:t xml:space="preserve"> in cui avrebbero avuto libera circolazione il </w:t>
      </w:r>
      <w:r>
        <w:rPr>
          <w:b w:val="1"/>
          <w:bCs w:val="1"/>
          <w:sz w:val="32"/>
          <w:szCs w:val="32"/>
        </w:rPr>
        <w:t>lavoro</w:t>
      </w:r>
      <w:r>
        <w:rPr>
          <w:sz w:val="32"/>
          <w:szCs w:val="32"/>
        </w:rPr>
        <w:t xml:space="preserve">, i </w:t>
      </w:r>
      <w:r>
        <w:rPr>
          <w:b w:val="1"/>
          <w:bCs w:val="1"/>
          <w:sz w:val="32"/>
          <w:szCs w:val="32"/>
        </w:rPr>
        <w:t>capitali</w:t>
      </w:r>
      <w:r>
        <w:rPr>
          <w:sz w:val="32"/>
          <w:szCs w:val="32"/>
        </w:rPr>
        <w:t>, le</w:t>
      </w:r>
      <w:r>
        <w:rPr>
          <w:b w:val="1"/>
          <w:bCs w:val="1"/>
          <w:sz w:val="32"/>
          <w:szCs w:val="32"/>
        </w:rPr>
        <w:t xml:space="preserve"> merci</w:t>
      </w:r>
      <w:r>
        <w:rPr>
          <w:sz w:val="32"/>
          <w:szCs w:val="32"/>
        </w:rPr>
        <w:t xml:space="preserve"> e i </w:t>
      </w:r>
      <w:r>
        <w:rPr>
          <w:b w:val="1"/>
          <w:bCs w:val="1"/>
          <w:sz w:val="32"/>
          <w:szCs w:val="32"/>
        </w:rPr>
        <w:t>servizi</w:t>
      </w:r>
      <w:r>
        <w:rPr>
          <w:sz w:val="32"/>
          <w:szCs w:val="32"/>
        </w:rPr>
        <w:t xml:space="preserve">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Non a caso, delle tre Comunità create negli anni Cinquanta, quella che ha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conosciuto il maggior sviluppo è stata proprio la CEE, che nel 1993 ha cambiato nome ed 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diventata, semplicemente, la </w:t>
      </w:r>
      <w:r>
        <w:rPr>
          <w:b w:val="1"/>
          <w:bCs w:val="1"/>
          <w:sz w:val="32"/>
          <w:szCs w:val="32"/>
        </w:rPr>
        <w:t>Comunit</w:t>
      </w:r>
      <w:r>
        <w:rPr>
          <w:rFonts w:ascii="Calibri" w:hAnsi="Calibri" w:cs="Calibri"/>
          <w:b w:val="1"/>
          <w:bCs w:val="1"/>
          <w:sz w:val="32"/>
          <w:szCs w:val="32"/>
        </w:rPr>
        <w:t>à</w:t>
      </w:r>
      <w:r>
        <w:rPr>
          <w:b w:val="1"/>
          <w:bCs w:val="1"/>
          <w:sz w:val="32"/>
          <w:szCs w:val="32"/>
        </w:rPr>
        <w:t xml:space="preserve"> europea</w:t>
      </w:r>
      <w:r>
        <w:rPr>
          <w:sz w:val="32"/>
          <w:szCs w:val="32"/>
        </w:rPr>
        <w:t xml:space="preserve"> (CE).</w:t>
      </w:r>
    </w:p>
    <w:p>
      <w:pPr>
        <w:ind w:left="0" w:right="-1"/>
        <w:jc w:val="both"/>
        <w:rPr>
          <w:sz w:val="32"/>
          <w:szCs w:val="32"/>
        </w:rPr>
      </w:pPr>
    </w:p>
    <w:tbl>
      <w:tblPr>
        <w:tblStyle w:val="T2"/>
        <w:tblW w:w="0" w:type="auto"/>
        <w:tblLook w:val="04A0"/>
      </w:tblPr>
      <w:tblGrid/>
      <w:tr>
        <w:tc>
          <w:tcPr>
            <w:tcW w:w="3209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Comunità europea del carbone e dell’acciaio</w:t>
            </w:r>
          </w:p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</w:t>
            </w:r>
            <w:r>
              <w:rPr>
                <w:b w:val="1"/>
                <w:bCs w:val="1"/>
                <w:sz w:val="32"/>
                <w:szCs w:val="32"/>
              </w:rPr>
              <w:t>(CECA)</w:t>
            </w:r>
          </w:p>
        </w:tc>
        <w:tc>
          <w:tcPr>
            <w:tcW w:w="3209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Trattato di Parigi (1951)</w:t>
            </w:r>
          </w:p>
        </w:tc>
        <w:tc>
          <w:tcPr>
            <w:tcW w:w="3210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 produzione di carbone e acciaio di sei paesi viene messa sotto il controllo di un’autorità comune.</w:t>
            </w:r>
          </w:p>
        </w:tc>
      </w:tr>
      <w:tr>
        <w:tc>
          <w:tcPr>
            <w:tcW w:w="3209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Comunità europea</w:t>
            </w:r>
          </w:p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dell’energia atomica</w:t>
            </w:r>
          </w:p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</w:t>
            </w:r>
            <w:r>
              <w:rPr>
                <w:b w:val="1"/>
                <w:bCs w:val="1"/>
                <w:sz w:val="32"/>
                <w:szCs w:val="32"/>
              </w:rPr>
              <w:t>(Euratom)</w:t>
            </w:r>
          </w:p>
        </w:tc>
        <w:tc>
          <w:tcPr>
            <w:tcW w:w="3209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Trattato di Roma</w:t>
            </w:r>
          </w:p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(1957)</w:t>
            </w:r>
          </w:p>
        </w:tc>
        <w:tc>
          <w:tcPr>
            <w:tcW w:w="3210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 produzione di energia atomica di sei paesi viene posta sotto il controllo di un’autorità comune.</w:t>
            </w:r>
          </w:p>
        </w:tc>
      </w:tr>
      <w:tr>
        <w:tc>
          <w:tcPr>
            <w:tcW w:w="3209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Comunità economica </w:t>
            </w:r>
          </w:p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europea</w:t>
            </w:r>
          </w:p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</w:t>
            </w:r>
            <w:r>
              <w:rPr>
                <w:b w:val="1"/>
                <w:bCs w:val="1"/>
                <w:sz w:val="32"/>
                <w:szCs w:val="32"/>
              </w:rPr>
              <w:t>(CEE)</w:t>
            </w:r>
          </w:p>
        </w:tc>
        <w:tc>
          <w:tcPr>
            <w:tcW w:w="3209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Trattato di Roma</w:t>
            </w:r>
          </w:p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(1957)</w:t>
            </w:r>
          </w:p>
        </w:tc>
        <w:tc>
          <w:tcPr>
            <w:tcW w:w="3210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Integrazione di ampio respiro con l’obiettivo di creare un mercato comune europeo.</w:t>
            </w:r>
          </w:p>
        </w:tc>
      </w:tr>
    </w:tbl>
    <w:p>
      <w:pPr>
        <w:ind w:left="0" w:right="-1"/>
        <w:jc w:val="both"/>
        <w:rPr>
          <w:sz w:val="32"/>
          <w:szCs w:val="32"/>
        </w:rPr>
      </w:pPr>
    </w:p>
    <w:p>
      <w:pPr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</w:rPr>
        <w:t>L’ UNIONE DOG</w:t>
      </w:r>
      <w:r>
        <w:rPr>
          <w:b w:val="1"/>
          <w:bCs w:val="1"/>
          <w:sz w:val="32"/>
          <w:szCs w:val="32"/>
          <w:highlight w:val="yellow"/>
          <w:rtl w:val="0"/>
          <w:lang w:val="it-IT" w:bidi="it-IT" w:eastAsia="it-IT"/>
        </w:rPr>
        <w:t>A</w:t>
      </w:r>
      <w:r>
        <w:rPr>
          <w:b w:val="1"/>
          <w:bCs w:val="1"/>
          <w:sz w:val="32"/>
          <w:szCs w:val="32"/>
          <w:highlight w:val="yellow"/>
        </w:rPr>
        <w:t>NALE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L’obiettivo principale del Trattato istitutivo della Comunità economica europea era la realizzazione dell’</w:t>
      </w:r>
      <w:r>
        <w:rPr>
          <w:b w:val="1"/>
          <w:bCs w:val="1"/>
          <w:sz w:val="32"/>
          <w:szCs w:val="32"/>
        </w:rPr>
        <w:t>unione doganale</w:t>
      </w:r>
      <w:r>
        <w:rPr>
          <w:sz w:val="32"/>
          <w:szCs w:val="32"/>
        </w:rPr>
        <w:t>, un’area nella quale: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è vietato limitare la libera circolazione delle merci provenienti dal territorio di uno degli Stati membri con </w:t>
      </w:r>
      <w:r>
        <w:rPr>
          <w:b w:val="1"/>
          <w:bCs w:val="1"/>
          <w:sz w:val="32"/>
          <w:szCs w:val="32"/>
          <w:highlight w:val="yellow"/>
        </w:rPr>
        <w:t>dazi doganali</w:t>
      </w:r>
      <w:r>
        <w:rPr>
          <w:b w:val="1"/>
          <w:bCs w:val="1"/>
          <w:sz w:val="32"/>
          <w:szCs w:val="32"/>
        </w:rPr>
        <w:t xml:space="preserve"> </w:t>
      </w:r>
      <w:r>
        <w:rPr>
          <w:sz w:val="32"/>
          <w:szCs w:val="32"/>
        </w:rPr>
        <w:t>(tributi ai prodotti importati da uno Stato nel momento in cui varcano la frontiera) o altre barriere;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è prevista l’istituzione di una</w:t>
      </w:r>
      <w:r>
        <w:rPr>
          <w:b w:val="1"/>
          <w:bCs w:val="1"/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  <w:highlight w:val="yellow"/>
        </w:rPr>
        <w:t>tariffa doganale</w:t>
      </w:r>
      <w:r>
        <w:rPr>
          <w:b w:val="1"/>
          <w:bCs w:val="1"/>
          <w:sz w:val="32"/>
          <w:szCs w:val="32"/>
        </w:rPr>
        <w:t xml:space="preserve"> </w:t>
      </w:r>
      <w:r>
        <w:rPr>
          <w:sz w:val="32"/>
          <w:szCs w:val="32"/>
        </w:rPr>
        <w:t>(elenco delle merci oggetto di scambio con gli altri Stati e assoggettate al pagamento dei dazi doganali) comune che si applica ai prodotti importati da Stati terzi.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L’unione doganale rappresenta un livello intermedio tra altre due forme di integrazione economica: </w:t>
      </w:r>
      <w:r>
        <w:rPr>
          <w:b w:val="1"/>
          <w:bCs w:val="1"/>
          <w:sz w:val="32"/>
          <w:szCs w:val="32"/>
        </w:rPr>
        <w:t>l</w:t>
      </w:r>
      <w:r>
        <w:rPr>
          <w:rFonts w:ascii="Calibri" w:hAnsi="Calibri" w:cs="Calibri"/>
          <w:b w:val="1"/>
          <w:bCs w:val="1"/>
          <w:sz w:val="32"/>
          <w:szCs w:val="32"/>
        </w:rPr>
        <w:t>’</w:t>
      </w:r>
      <w:r>
        <w:rPr>
          <w:b w:val="1"/>
          <w:bCs w:val="1"/>
          <w:sz w:val="32"/>
          <w:szCs w:val="32"/>
        </w:rPr>
        <w:t>area di libero scambio</w:t>
      </w:r>
      <w:r>
        <w:rPr>
          <w:sz w:val="32"/>
          <w:szCs w:val="32"/>
        </w:rPr>
        <w:t xml:space="preserve"> e l</w:t>
      </w:r>
      <w:r>
        <w:rPr>
          <w:rFonts w:ascii="Calibri" w:hAnsi="Calibri" w:cs="Calibri"/>
          <w:sz w:val="32"/>
          <w:szCs w:val="32"/>
        </w:rPr>
        <w:t>’</w:t>
      </w:r>
      <w:r>
        <w:rPr>
          <w:b w:val="1"/>
          <w:bCs w:val="1"/>
          <w:sz w:val="32"/>
          <w:szCs w:val="32"/>
        </w:rPr>
        <w:t>unione economica</w:t>
      </w:r>
      <w:r>
        <w:rPr>
          <w:sz w:val="32"/>
          <w:szCs w:val="32"/>
        </w:rPr>
        <w:t xml:space="preserve">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Nell’</w:t>
      </w:r>
      <w:r>
        <w:rPr>
          <w:b w:val="1"/>
          <w:bCs w:val="1"/>
          <w:sz w:val="32"/>
          <w:szCs w:val="32"/>
        </w:rPr>
        <w:t xml:space="preserve">area di libero scambio </w:t>
      </w:r>
      <w:r>
        <w:rPr>
          <w:sz w:val="32"/>
          <w:szCs w:val="32"/>
        </w:rPr>
        <w:t xml:space="preserve">l’obiettivo principale è quello di abolire i dazi doganali tra i paesi aderenti e permettere la libera importazione ed esportazione delle merci, </w:t>
      </w:r>
      <w:r>
        <w:rPr>
          <w:b w:val="1"/>
          <w:bCs w:val="1"/>
          <w:sz w:val="32"/>
          <w:szCs w:val="32"/>
        </w:rPr>
        <w:t>senza istituire una tariffa doganale comune verso i paesi terzi</w:t>
      </w:r>
      <w:r>
        <w:rPr>
          <w:sz w:val="32"/>
          <w:szCs w:val="32"/>
        </w:rPr>
        <w:t>. L’</w:t>
      </w:r>
      <w:r>
        <w:rPr>
          <w:b w:val="1"/>
          <w:bCs w:val="1"/>
          <w:sz w:val="32"/>
          <w:szCs w:val="32"/>
        </w:rPr>
        <w:t xml:space="preserve">unione economica </w:t>
      </w:r>
      <w:r>
        <w:rPr>
          <w:sz w:val="32"/>
          <w:szCs w:val="32"/>
        </w:rPr>
        <w:t>rappresenta, invece, un passo avanti rispetto all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 xml:space="preserve">unione doganale in quanto 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prevista all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 xml:space="preserve">interno dei paesi membri </w:t>
      </w:r>
      <w:r>
        <w:rPr>
          <w:b w:val="1"/>
          <w:bCs w:val="1"/>
          <w:sz w:val="32"/>
          <w:szCs w:val="32"/>
        </w:rPr>
        <w:t>anche la libera circolazione delle persone, dei servizi e dei capitali</w:t>
      </w:r>
      <w:r>
        <w:rPr>
          <w:sz w:val="32"/>
          <w:szCs w:val="32"/>
        </w:rPr>
        <w:t>: in pratica corrisponde a quello che nella terminologia dell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 xml:space="preserve">Unione europea 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definito mercato unico.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processo di integrazione europea iniziò a procedere in maniera spedita,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coinvolgendo altri Stati.</w:t>
      </w: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 w:val="1"/>
          <w:bCs w:val="1"/>
          <w:sz w:val="32"/>
          <w:szCs w:val="32"/>
        </w:rPr>
        <w:t>1° gennaio 1973</w:t>
      </w:r>
      <w:r>
        <w:rPr>
          <w:sz w:val="32"/>
          <w:szCs w:val="32"/>
        </w:rPr>
        <w:t xml:space="preserve"> entrarono a far parte delle Comunità europee il </w:t>
      </w:r>
      <w:r>
        <w:rPr>
          <w:b w:val="1"/>
          <w:bCs w:val="1"/>
          <w:sz w:val="32"/>
          <w:szCs w:val="32"/>
        </w:rPr>
        <w:t xml:space="preserve">Regno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Unito</w:t>
      </w:r>
      <w:r>
        <w:rPr>
          <w:sz w:val="32"/>
          <w:szCs w:val="32"/>
        </w:rPr>
        <w:t>, l’</w:t>
      </w:r>
      <w:r>
        <w:rPr>
          <w:b w:val="1"/>
          <w:bCs w:val="1"/>
          <w:sz w:val="32"/>
          <w:szCs w:val="32"/>
        </w:rPr>
        <w:t>Irlanda</w:t>
      </w:r>
      <w:r>
        <w:rPr>
          <w:sz w:val="32"/>
          <w:szCs w:val="32"/>
        </w:rPr>
        <w:t xml:space="preserve"> e la </w:t>
      </w:r>
      <w:r>
        <w:rPr>
          <w:b w:val="1"/>
          <w:bCs w:val="1"/>
          <w:sz w:val="32"/>
          <w:szCs w:val="32"/>
        </w:rPr>
        <w:t>Danimarca</w:t>
      </w:r>
      <w:r>
        <w:rPr>
          <w:sz w:val="32"/>
          <w:szCs w:val="32"/>
        </w:rPr>
        <w:t xml:space="preserve">. Qualche anno più tardi, nel </w:t>
      </w:r>
      <w:r>
        <w:rPr>
          <w:b w:val="1"/>
          <w:bCs w:val="1"/>
          <w:sz w:val="32"/>
          <w:szCs w:val="32"/>
        </w:rPr>
        <w:t>1981</w:t>
      </w:r>
      <w:r>
        <w:rPr>
          <w:sz w:val="32"/>
          <w:szCs w:val="32"/>
        </w:rPr>
        <w:t>, la</w:t>
      </w:r>
      <w:r>
        <w:rPr>
          <w:b w:val="1"/>
          <w:bCs w:val="1"/>
          <w:sz w:val="32"/>
          <w:szCs w:val="32"/>
        </w:rPr>
        <w:t xml:space="preserve"> Grecia</w:t>
      </w:r>
      <w:r>
        <w:rPr>
          <w:sz w:val="32"/>
          <w:szCs w:val="32"/>
        </w:rPr>
        <w:t xml:space="preserve"> divenne il decimo Stato membro delle Comunità. Nel gennaio del </w:t>
      </w:r>
      <w:r>
        <w:rPr>
          <w:b w:val="1"/>
          <w:bCs w:val="1"/>
          <w:sz w:val="32"/>
          <w:szCs w:val="32"/>
        </w:rPr>
        <w:t>1986</w:t>
      </w:r>
      <w:r>
        <w:rPr>
          <w:sz w:val="32"/>
          <w:szCs w:val="32"/>
        </w:rPr>
        <w:t>, anche il</w:t>
      </w:r>
      <w:r>
        <w:rPr>
          <w:b w:val="1"/>
          <w:bCs w:val="1"/>
          <w:sz w:val="32"/>
          <w:szCs w:val="32"/>
        </w:rPr>
        <w:t xml:space="preserve"> Portogallo</w:t>
      </w:r>
      <w:r>
        <w:rPr>
          <w:sz w:val="32"/>
          <w:szCs w:val="32"/>
        </w:rPr>
        <w:t xml:space="preserve"> e la </w:t>
      </w:r>
      <w:r>
        <w:rPr>
          <w:b w:val="1"/>
          <w:bCs w:val="1"/>
          <w:sz w:val="32"/>
          <w:szCs w:val="32"/>
        </w:rPr>
        <w:t xml:space="preserve">Spagna </w:t>
      </w:r>
      <w:r>
        <w:rPr>
          <w:sz w:val="32"/>
          <w:szCs w:val="32"/>
        </w:rPr>
        <w:t xml:space="preserve">fecero il loro ingresso, portando il numero totale dei paesi membri da dieci a dodici. Nel </w:t>
      </w:r>
      <w:r>
        <w:rPr>
          <w:b w:val="1"/>
          <w:bCs w:val="1"/>
          <w:sz w:val="32"/>
          <w:szCs w:val="32"/>
        </w:rPr>
        <w:t>1995</w:t>
      </w:r>
      <w:r>
        <w:rPr>
          <w:sz w:val="32"/>
          <w:szCs w:val="32"/>
        </w:rPr>
        <w:t xml:space="preserve"> fu la volta di </w:t>
      </w:r>
      <w:r>
        <w:rPr>
          <w:b w:val="1"/>
          <w:bCs w:val="1"/>
          <w:sz w:val="32"/>
          <w:szCs w:val="32"/>
        </w:rPr>
        <w:t>Austria</w:t>
      </w:r>
      <w:r>
        <w:rPr>
          <w:sz w:val="32"/>
          <w:szCs w:val="32"/>
        </w:rPr>
        <w:t xml:space="preserve">, </w:t>
      </w:r>
      <w:r>
        <w:rPr>
          <w:b w:val="1"/>
          <w:bCs w:val="1"/>
          <w:sz w:val="32"/>
          <w:szCs w:val="32"/>
        </w:rPr>
        <w:t>Finlandia</w:t>
      </w:r>
      <w:r>
        <w:rPr>
          <w:sz w:val="32"/>
          <w:szCs w:val="32"/>
        </w:rPr>
        <w:t xml:space="preserve"> e </w:t>
      </w:r>
      <w:r>
        <w:rPr>
          <w:b w:val="1"/>
          <w:bCs w:val="1"/>
          <w:sz w:val="32"/>
          <w:szCs w:val="32"/>
        </w:rPr>
        <w:t>Svezia</w:t>
      </w:r>
      <w:r>
        <w:rPr>
          <w:sz w:val="32"/>
          <w:szCs w:val="32"/>
        </w:rPr>
        <w:t xml:space="preserve">. Dal </w:t>
      </w:r>
      <w:r>
        <w:rPr>
          <w:b w:val="1"/>
          <w:bCs w:val="1"/>
          <w:sz w:val="32"/>
          <w:szCs w:val="32"/>
        </w:rPr>
        <w:t>1° gennaio 1995</w:t>
      </w:r>
      <w:r>
        <w:rPr>
          <w:sz w:val="32"/>
          <w:szCs w:val="32"/>
        </w:rPr>
        <w:t xml:space="preserve">, quindi, gli Stati membri sono passati da dodici a </w:t>
      </w:r>
      <w:r>
        <w:rPr>
          <w:b w:val="1"/>
          <w:bCs w:val="1"/>
          <w:sz w:val="32"/>
          <w:szCs w:val="32"/>
        </w:rPr>
        <w:t>quindici</w:t>
      </w:r>
      <w:r>
        <w:rPr>
          <w:sz w:val="32"/>
          <w:szCs w:val="32"/>
        </w:rPr>
        <w:t>, più del doppio rispetto ai sei Stati che inizialmente avevano aderito alla proposta di Robert Schuman.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</w:rPr>
        <w:t>IL LIBRO BIANCO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Nonostante i progressi compiuti con l’unione doganale, per portare a termine il processo di liberalizzazione dei mercati restavano ancora da eliminare molte </w:t>
      </w:r>
      <w:r>
        <w:rPr>
          <w:b w:val="1"/>
          <w:bCs w:val="1"/>
          <w:sz w:val="32"/>
          <w:szCs w:val="32"/>
        </w:rPr>
        <w:t>barriere fisiche</w:t>
      </w:r>
      <w:r>
        <w:rPr>
          <w:sz w:val="32"/>
          <w:szCs w:val="32"/>
        </w:rPr>
        <w:t xml:space="preserve"> (i controlli alle frontiere tra uno Stato e l’altro), </w:t>
      </w:r>
      <w:r>
        <w:rPr>
          <w:b w:val="1"/>
          <w:bCs w:val="1"/>
          <w:sz w:val="32"/>
          <w:szCs w:val="32"/>
        </w:rPr>
        <w:t>tecniche</w:t>
      </w:r>
      <w:r>
        <w:rPr>
          <w:sz w:val="32"/>
          <w:szCs w:val="32"/>
        </w:rPr>
        <w:t xml:space="preserve"> (i diversi requisiti richiesti dagli Stati per la fabbricazione di determinati prodotti) e </w:t>
      </w:r>
      <w:r>
        <w:rPr>
          <w:b w:val="1"/>
          <w:bCs w:val="1"/>
          <w:sz w:val="32"/>
          <w:szCs w:val="32"/>
        </w:rPr>
        <w:t>fiscali</w:t>
      </w:r>
      <w:r>
        <w:rPr>
          <w:sz w:val="32"/>
          <w:szCs w:val="32"/>
        </w:rPr>
        <w:t xml:space="preserve"> (la diversa incidenza delle imposte da uno Stato all’altro).</w:t>
      </w: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sz w:val="32"/>
          <w:szCs w:val="32"/>
        </w:rPr>
        <w:t xml:space="preserve">Per eliminare gli ostacoli che ancora si frapponevano alla creazione di un mercato unico europeo, nel </w:t>
      </w:r>
      <w:r>
        <w:rPr>
          <w:b w:val="1"/>
          <w:bCs w:val="1"/>
          <w:sz w:val="32"/>
          <w:szCs w:val="32"/>
        </w:rPr>
        <w:t>giugno del 1985</w:t>
      </w:r>
      <w:r>
        <w:rPr>
          <w:sz w:val="32"/>
          <w:szCs w:val="32"/>
        </w:rPr>
        <w:t xml:space="preserve"> fu presentato il </w:t>
      </w:r>
      <w:r>
        <w:rPr>
          <w:rFonts w:ascii="Calibri" w:hAnsi="Calibri" w:cs="Calibri"/>
          <w:sz w:val="32"/>
          <w:szCs w:val="32"/>
        </w:rPr>
        <w:t>«</w:t>
      </w:r>
      <w:r>
        <w:rPr>
          <w:b w:val="1"/>
          <w:bCs w:val="1"/>
          <w:sz w:val="32"/>
          <w:szCs w:val="32"/>
        </w:rPr>
        <w:t>Libro bianco</w:t>
      </w:r>
      <w:r>
        <w:rPr>
          <w:sz w:val="32"/>
          <w:szCs w:val="32"/>
        </w:rPr>
        <w:t xml:space="preserve"> sul completamento del mercato comune</w:t>
      </w:r>
      <w:r>
        <w:rPr>
          <w:rFonts w:ascii="Calibri" w:hAnsi="Calibri" w:cs="Calibri"/>
          <w:sz w:val="32"/>
          <w:szCs w:val="32"/>
        </w:rPr>
        <w:t>»</w:t>
      </w:r>
      <w:r>
        <w:rPr>
          <w:sz w:val="32"/>
          <w:szCs w:val="32"/>
        </w:rPr>
        <w:t xml:space="preserve">, </w:t>
      </w:r>
      <w:r>
        <w:rPr>
          <w:b w:val="1"/>
          <w:bCs w:val="1"/>
          <w:sz w:val="32"/>
          <w:szCs w:val="32"/>
        </w:rPr>
        <w:t>un documento che individuava le azioni da compiere per completare la creazione di uno spazio in cui fosse assicurata l’effettiva libera circolazione di merci, servizi, persone e capitali, entro il 31 dicembre 1992.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</w:rPr>
        <w:t>L’ ATTO UNICO EUROPEO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Le indicazioni contenute nel Libro bianco furono successivamente richiamate nell</w:t>
      </w:r>
      <w:r>
        <w:rPr>
          <w:rFonts w:ascii="Calibri" w:hAnsi="Calibri" w:cs="Calibri"/>
          <w:sz w:val="32"/>
          <w:szCs w:val="32"/>
        </w:rPr>
        <w:t>’</w:t>
      </w:r>
      <w:r>
        <w:rPr>
          <w:b w:val="1"/>
          <w:bCs w:val="1"/>
          <w:sz w:val="32"/>
          <w:szCs w:val="32"/>
        </w:rPr>
        <w:t>Atto unico europeo del 28 febbraio 1986</w:t>
      </w:r>
      <w:r>
        <w:rPr>
          <w:sz w:val="32"/>
          <w:szCs w:val="32"/>
        </w:rPr>
        <w:t>, con il quale si apportavano le necessarie modifiche ai trattati istitutivi allo scopo di rendere possibile la realizzazione del mercato comune.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Negli anni successivi fu avviato un intenso lavoro di armonizzazione in tutti i settori, che diede i risultati sperati e consentì di far partire dal </w:t>
      </w:r>
      <w:r>
        <w:rPr>
          <w:b w:val="1"/>
          <w:bCs w:val="1"/>
          <w:sz w:val="32"/>
          <w:szCs w:val="32"/>
        </w:rPr>
        <w:t>1° gennaio 1993</w:t>
      </w:r>
      <w:r>
        <w:rPr>
          <w:sz w:val="32"/>
          <w:szCs w:val="32"/>
        </w:rPr>
        <w:t xml:space="preserve"> il mercato comune.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tbl>
      <w:tblPr>
        <w:tblStyle w:val="T2"/>
        <w:tblW w:w="0" w:type="auto"/>
        <w:tblLook w:val="04A0"/>
      </w:tblPr>
      <w:tblGrid/>
      <w:tr>
        <w:tc>
          <w:tcPr>
            <w:tcW w:w="4814" w:type="dxa"/>
          </w:tcPr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>UNIONE DOGANALE (1968)</w:t>
            </w:r>
          </w:p>
        </w:tc>
        <w:tc>
          <w:tcPr>
            <w:tcW w:w="4814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Abolizione di dazi doganali e altre barriere tra i paesi membri e adozione di una tariffa doganale unica verso i paesi terzi.</w:t>
            </w:r>
          </w:p>
        </w:tc>
      </w:tr>
      <w:tr>
        <w:tc>
          <w:tcPr>
            <w:tcW w:w="4814" w:type="dxa"/>
          </w:tcPr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>LIBRO BIANCO (1985)</w:t>
            </w:r>
          </w:p>
        </w:tc>
        <w:tc>
          <w:tcPr>
            <w:tcW w:w="4814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Individua le azioni da compiere per realizzare la libera circolazione </w:t>
            </w:r>
          </w:p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 merci, servizi, persone, capitali.</w:t>
            </w:r>
          </w:p>
        </w:tc>
      </w:tr>
      <w:tr>
        <w:tc>
          <w:tcPr>
            <w:tcW w:w="4814" w:type="dxa"/>
          </w:tcPr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>ATTO UNICO EUROPEO (1986)</w:t>
            </w:r>
          </w:p>
        </w:tc>
        <w:tc>
          <w:tcPr>
            <w:tcW w:w="4814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Modifiche ai trattati istitutivi allo scopo di rendere possibile la realizzazione del mercato comune.</w:t>
            </w:r>
          </w:p>
        </w:tc>
      </w:tr>
      <w:tr>
        <w:tc>
          <w:tcPr>
            <w:tcW w:w="4814" w:type="dxa"/>
          </w:tcPr>
          <w:p>
            <w:pPr>
              <w:ind w:left="0" w:right="-1"/>
              <w:jc w:val="both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</w:rPr>
              <w:t>ANNI 1973-1995</w:t>
            </w:r>
          </w:p>
        </w:tc>
        <w:tc>
          <w:tcPr>
            <w:tcW w:w="4814" w:type="dxa"/>
          </w:tcPr>
          <w:p>
            <w:pPr>
              <w:ind w:left="0" w:right="-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Allargamento della comunità: gli stati membri diventano quindici.</w:t>
            </w:r>
          </w:p>
        </w:tc>
      </w:tr>
    </w:tbl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ind w:left="0" w:right="-1"/>
        <w:jc w:val="both"/>
        <w:rPr>
          <w:sz w:val="32"/>
          <w:szCs w:val="32"/>
        </w:rPr>
      </w:pPr>
    </w:p>
    <w:sectPr>
      <w:type w:val="nextPage"/>
      <w:pgSz w:w="11906" w:h="16838" w:code="0"/>
      <w:pgMar w:left="1134" w:right="1134" w:top="1417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08"/>
  <w:autoHyphenation w:val="0"/>
  <w:hyphenationZone w:val="283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kern w:val="2"/>
        <w:lang w:val="it-IT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120" w:after="120" w:beforeAutospacing="0" w:afterAutospacing="0"/>
        <w:ind w:firstLine="0" w:left="1701" w:right="1701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widowControl w:val="0"/>
      <w:spacing w:after="0" w:beforeAutospacing="0" w:afterAutospacing="0"/>
    </w:pPr>
    <w:rPr/>
  </w:style>
  <w:style w:type="paragraph" w:styleId="P1">
    <w:name w:val="Heading 1"/>
    <w:basedOn w:val="P0"/>
    <w:next w:val="P0"/>
    <w:link w:val="C3"/>
    <w:qFormat/>
    <w:pPr>
      <w:keepNext w:val="1"/>
      <w:keepLines w:val="1"/>
      <w:spacing w:before="360" w:after="80" w:beforeAutospacing="0" w:afterAutospacing="0"/>
      <w:outlineLvl w:val="0"/>
    </w:pPr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paragraph" w:styleId="P2">
    <w:name w:val="Heading 2"/>
    <w:basedOn w:val="P0"/>
    <w:next w:val="P0"/>
    <w:link w:val="C4"/>
    <w:qFormat/>
    <w:pPr>
      <w:keepNext w:val="1"/>
      <w:keepLines w:val="1"/>
      <w:spacing w:before="160" w:after="80" w:beforeAutospacing="0" w:afterAutospacing="0"/>
      <w:outlineLvl w:val="1"/>
    </w:pPr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paragraph" w:styleId="P3">
    <w:name w:val="Heading 3"/>
    <w:basedOn w:val="P0"/>
    <w:next w:val="P0"/>
    <w:link w:val="C5"/>
    <w:semiHidden/>
    <w:qFormat/>
    <w:pPr>
      <w:keepNext w:val="1"/>
      <w:keepLines w:val="1"/>
      <w:spacing w:before="160" w:after="80" w:beforeAutospacing="0" w:afterAutospacing="0"/>
      <w:outlineLvl w:val="2"/>
    </w:pPr>
    <w:rPr>
      <w:rFonts w:cstheme="majorBidi" w:eastAsiaTheme="majorEastAsia"/>
      <w:color w:val="2F5496" w:themeColor="accent1" w:themeShade="BF"/>
      <w:sz w:val="28"/>
      <w:szCs w:val="28"/>
    </w:rPr>
  </w:style>
  <w:style w:type="paragraph" w:styleId="P4">
    <w:name w:val="Heading 4"/>
    <w:basedOn w:val="P0"/>
    <w:next w:val="P0"/>
    <w:link w:val="C6"/>
    <w:semiHidden/>
    <w:qFormat/>
    <w:pPr>
      <w:keepNext w:val="1"/>
      <w:keepLines w:val="1"/>
      <w:spacing w:before="80" w:after="40" w:beforeAutospacing="0" w:afterAutospacing="0"/>
      <w:outlineLvl w:val="3"/>
    </w:pPr>
    <w:rPr>
      <w:rFonts w:cstheme="majorBidi" w:eastAsiaTheme="majorEastAsia"/>
      <w:i w:val="1"/>
      <w:iCs w:val="1"/>
      <w:color w:val="2F5496" w:themeColor="accent1" w:themeShade="BF"/>
    </w:rPr>
  </w:style>
  <w:style w:type="paragraph" w:styleId="P5">
    <w:name w:val="Heading 5"/>
    <w:basedOn w:val="P0"/>
    <w:next w:val="P0"/>
    <w:link w:val="C7"/>
    <w:semiHidden/>
    <w:qFormat/>
    <w:pPr>
      <w:keepNext w:val="1"/>
      <w:keepLines w:val="1"/>
      <w:spacing w:before="80" w:after="40" w:beforeAutospacing="0" w:afterAutospacing="0"/>
      <w:outlineLvl w:val="4"/>
    </w:pPr>
    <w:rPr>
      <w:rFonts w:cstheme="majorBidi" w:eastAsiaTheme="majorEastAsia"/>
      <w:color w:val="2F5496" w:themeColor="accent1" w:themeShade="BF"/>
    </w:rPr>
  </w:style>
  <w:style w:type="paragraph" w:styleId="P6">
    <w:name w:val="Heading 6"/>
    <w:basedOn w:val="P0"/>
    <w:next w:val="P0"/>
    <w:link w:val="C8"/>
    <w:semiHidden/>
    <w:qFormat/>
    <w:pPr>
      <w:keepNext w:val="1"/>
      <w:keepLines w:val="1"/>
      <w:spacing w:before="40" w:beforeAutospacing="0" w:afterAutospacing="0"/>
      <w:outlineLvl w:val="5"/>
    </w:pPr>
    <w:rPr>
      <w:rFonts w:cstheme="majorBidi" w:eastAsiaTheme="majorEastAsia"/>
      <w:i w:val="1"/>
      <w:iCs w:val="1"/>
      <w:color w:val="595959" w:themeColor="text1" w:themeTint="A6"/>
    </w:rPr>
  </w:style>
  <w:style w:type="paragraph" w:styleId="P7">
    <w:name w:val="Heading 7"/>
    <w:basedOn w:val="P0"/>
    <w:next w:val="P0"/>
    <w:link w:val="C9"/>
    <w:semiHidden/>
    <w:qFormat/>
    <w:pPr>
      <w:keepNext w:val="1"/>
      <w:keepLines w:val="1"/>
      <w:spacing w:before="40" w:beforeAutospacing="0" w:afterAutospacing="0"/>
      <w:outlineLvl w:val="6"/>
    </w:pPr>
    <w:rPr>
      <w:rFonts w:cstheme="majorBidi" w:eastAsiaTheme="majorEastAsia"/>
      <w:color w:val="595959" w:themeColor="text1" w:themeTint="A6"/>
    </w:rPr>
  </w:style>
  <w:style w:type="paragraph" w:styleId="P8">
    <w:name w:val="Heading 8"/>
    <w:basedOn w:val="P0"/>
    <w:next w:val="P0"/>
    <w:link w:val="C10"/>
    <w:semiHidden/>
    <w:qFormat/>
    <w:pPr>
      <w:keepNext w:val="1"/>
      <w:keepLines w:val="1"/>
      <w:spacing w:before="0" w:beforeAutospacing="0" w:afterAutospacing="0"/>
      <w:outlineLvl w:val="7"/>
    </w:pPr>
    <w:rPr>
      <w:rFonts w:cstheme="majorBidi" w:eastAsiaTheme="majorEastAsia"/>
      <w:i w:val="1"/>
      <w:iCs w:val="1"/>
      <w:color w:val="272727" w:themeColor="text1" w:themeTint="D8"/>
    </w:rPr>
  </w:style>
  <w:style w:type="paragraph" w:styleId="P9">
    <w:name w:val="Heading 9"/>
    <w:basedOn w:val="P0"/>
    <w:next w:val="P0"/>
    <w:link w:val="C11"/>
    <w:semiHidden/>
    <w:qFormat/>
    <w:pPr>
      <w:keepNext w:val="1"/>
      <w:keepLines w:val="1"/>
      <w:spacing w:before="0" w:beforeAutospacing="0" w:afterAutospacing="0"/>
      <w:outlineLvl w:val="8"/>
    </w:pPr>
    <w:rPr>
      <w:rFonts w:cstheme="majorBidi" w:eastAsiaTheme="majorEastAsia"/>
      <w:color w:val="272727" w:themeColor="text1" w:themeTint="D8"/>
    </w:rPr>
  </w:style>
  <w:style w:type="paragraph" w:styleId="P10">
    <w:name w:val="Title"/>
    <w:basedOn w:val="P0"/>
    <w:next w:val="P0"/>
    <w:link w:val="C12"/>
    <w:qFormat/>
    <w:pPr>
      <w:spacing w:before="0" w:after="80" w:beforeAutospacing="0" w:afterAutospacing="0"/>
      <w:contextualSpacing w:val="1"/>
    </w:pPr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paragraph" w:styleId="P11">
    <w:name w:val="Subtitle"/>
    <w:basedOn w:val="P0"/>
    <w:next w:val="P0"/>
    <w:link w:val="C13"/>
    <w:qFormat/>
    <w:pPr>
      <w:spacing w:after="160" w:beforeAutospacing="0" w:afterAutospacing="0"/>
      <w:ind w:left="1701"/>
    </w:pPr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paragraph" w:styleId="P12">
    <w:name w:val="Quote"/>
    <w:basedOn w:val="P0"/>
    <w:next w:val="P0"/>
    <w:link w:val="C14"/>
    <w:qFormat/>
    <w:pPr>
      <w:spacing w:before="160" w:after="160" w:beforeAutospacing="0" w:afterAutospacing="0"/>
      <w:jc w:val="center"/>
    </w:pPr>
    <w:rPr>
      <w:i w:val="1"/>
      <w:iCs w:val="1"/>
      <w:color w:val="404040" w:themeColor="text1" w:themeTint="BF"/>
    </w:rPr>
  </w:style>
  <w:style w:type="paragraph" w:styleId="P13">
    <w:name w:val="List Paragraph"/>
    <w:basedOn w:val="P0"/>
    <w:qFormat/>
    <w:pPr>
      <w:ind w:left="720"/>
      <w:contextualSpacing w:val="1"/>
    </w:pPr>
    <w:rPr/>
  </w:style>
  <w:style w:type="paragraph" w:styleId="P14">
    <w:name w:val="Intense Quote"/>
    <w:basedOn w:val="P0"/>
    <w:next w:val="P0"/>
    <w:link w:val="C16"/>
    <w:qFormat/>
    <w:pPr>
      <w:pBdr>
        <w:top w:val="single" w:sz="4" w:space="10" w:shadow="0" w:frame="0" w:color="2F5496" w:themeColor="accent1" w:themeShade="BF"/>
        <w:left w:val="none" w:sz="0" w:space="0" w:shadow="0" w:frame="0" w:color="auto"/>
        <w:bottom w:val="single" w:sz="4" w:space="10" w:shadow="0" w:frame="0" w:color="2F5496" w:themeColor="accent1" w:themeShade="BF"/>
        <w:right w:val="none" w:sz="0" w:space="0" w:shadow="0" w:frame="0" w:color="auto"/>
        <w:between w:val="none" w:sz="0" w:space="0" w:shadow="0" w:frame="0" w:color="auto"/>
      </w:pBdr>
      <w:spacing w:before="360" w:after="360" w:beforeAutospacing="0" w:afterAutospacing="0"/>
      <w:ind w:left="864" w:right="864"/>
      <w:jc w:val="center"/>
    </w:pPr>
    <w:rPr>
      <w:i w:val="1"/>
      <w:iCs w:val="1"/>
      <w:color w:val="2F5496" w:themeColor="accent1" w:themeShade="BF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Titolo 1 Carattere"/>
    <w:basedOn w:val="C0"/>
    <w:link w:val="P1"/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character" w:styleId="C4">
    <w:name w:val="Titolo 2 Carattere"/>
    <w:basedOn w:val="C0"/>
    <w:link w:val="P2"/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character" w:styleId="C5">
    <w:name w:val="Titolo 3 Carattere"/>
    <w:basedOn w:val="C0"/>
    <w:link w:val="P3"/>
    <w:semiHidden/>
    <w:rPr>
      <w:rFonts w:cstheme="majorBidi" w:eastAsiaTheme="majorEastAsia"/>
      <w:color w:val="2F5496" w:themeColor="accent1" w:themeShade="BF"/>
      <w:sz w:val="28"/>
      <w:szCs w:val="28"/>
    </w:rPr>
  </w:style>
  <w:style w:type="character" w:styleId="C6">
    <w:name w:val="Titolo 4 Carattere"/>
    <w:basedOn w:val="C0"/>
    <w:link w:val="P4"/>
    <w:semiHidden/>
    <w:rPr>
      <w:rFonts w:cstheme="majorBidi" w:eastAsiaTheme="majorEastAsia"/>
      <w:i w:val="1"/>
      <w:iCs w:val="1"/>
      <w:color w:val="2F5496" w:themeColor="accent1" w:themeShade="BF"/>
    </w:rPr>
  </w:style>
  <w:style w:type="character" w:styleId="C7">
    <w:name w:val="Titolo 5 Carattere"/>
    <w:basedOn w:val="C0"/>
    <w:link w:val="P5"/>
    <w:semiHidden/>
    <w:rPr>
      <w:rFonts w:cstheme="majorBidi" w:eastAsiaTheme="majorEastAsia"/>
      <w:color w:val="2F5496" w:themeColor="accent1" w:themeShade="BF"/>
    </w:rPr>
  </w:style>
  <w:style w:type="character" w:styleId="C8">
    <w:name w:val="Titolo 6 Carattere"/>
    <w:basedOn w:val="C0"/>
    <w:link w:val="P6"/>
    <w:semiHidden/>
    <w:rPr>
      <w:rFonts w:cstheme="majorBidi" w:eastAsiaTheme="majorEastAsia"/>
      <w:i w:val="1"/>
      <w:iCs w:val="1"/>
      <w:color w:val="595959" w:themeColor="text1" w:themeTint="A6"/>
    </w:rPr>
  </w:style>
  <w:style w:type="character" w:styleId="C9">
    <w:name w:val="Titolo 7 Carattere"/>
    <w:basedOn w:val="C0"/>
    <w:link w:val="P7"/>
    <w:semiHidden/>
    <w:rPr>
      <w:rFonts w:cstheme="majorBidi" w:eastAsiaTheme="majorEastAsia"/>
      <w:color w:val="595959" w:themeColor="text1" w:themeTint="A6"/>
    </w:rPr>
  </w:style>
  <w:style w:type="character" w:styleId="C10">
    <w:name w:val="Titolo 8 Carattere"/>
    <w:basedOn w:val="C0"/>
    <w:link w:val="P8"/>
    <w:semiHidden/>
    <w:rPr>
      <w:rFonts w:cstheme="majorBidi" w:eastAsiaTheme="majorEastAsia"/>
      <w:i w:val="1"/>
      <w:iCs w:val="1"/>
      <w:color w:val="272727" w:themeColor="text1" w:themeTint="D8"/>
    </w:rPr>
  </w:style>
  <w:style w:type="character" w:styleId="C11">
    <w:name w:val="Titolo 9 Carattere"/>
    <w:basedOn w:val="C0"/>
    <w:link w:val="P9"/>
    <w:semiHidden/>
    <w:rPr>
      <w:rFonts w:cstheme="majorBidi" w:eastAsiaTheme="majorEastAsia"/>
      <w:color w:val="272727" w:themeColor="text1" w:themeTint="D8"/>
    </w:rPr>
  </w:style>
  <w:style w:type="character" w:styleId="C12">
    <w:name w:val="Titolo Carattere"/>
    <w:basedOn w:val="C0"/>
    <w:link w:val="P10"/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character" w:styleId="C13">
    <w:name w:val="Sottotitolo Carattere"/>
    <w:basedOn w:val="C0"/>
    <w:link w:val="P11"/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character" w:styleId="C14">
    <w:name w:val="Citazione Carattere"/>
    <w:basedOn w:val="C0"/>
    <w:link w:val="P12"/>
    <w:rPr>
      <w:i w:val="1"/>
      <w:iCs w:val="1"/>
      <w:color w:val="404040" w:themeColor="text1" w:themeTint="BF"/>
    </w:rPr>
  </w:style>
  <w:style w:type="character" w:styleId="C15">
    <w:name w:val="Intense Emphasis"/>
    <w:basedOn w:val="C0"/>
    <w:qFormat/>
    <w:rPr>
      <w:i w:val="1"/>
      <w:iCs w:val="1"/>
      <w:color w:val="2F5496" w:themeColor="accent1" w:themeShade="BF"/>
    </w:rPr>
  </w:style>
  <w:style w:type="character" w:styleId="C16">
    <w:name w:val="Citazione intensa Carattere"/>
    <w:basedOn w:val="C0"/>
    <w:link w:val="P14"/>
    <w:rPr>
      <w:i w:val="1"/>
      <w:iCs w:val="1"/>
      <w:color w:val="2F5496" w:themeColor="accent1" w:themeShade="BF"/>
    </w:rPr>
  </w:style>
  <w:style w:type="character" w:styleId="C17">
    <w:name w:val="Intense Reference1"/>
    <w:basedOn w:val="C0"/>
    <w:qFormat/>
    <w:rPr>
      <w:b w:val="1"/>
      <w:bCs w:val="1"/>
      <w:smallCaps w:val="1"/>
      <w:color w:val="2F5496" w:themeColor="accent1" w:themeShade="BF"/>
      <w:spacing w:val="5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before="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API/22.1.4.0</Application>
  <AppVersion>22.1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Daniele Ferlito</dc:creator>
  <dcterms:created xsi:type="dcterms:W3CDTF">2026-01-11T19:38:52Z</dcterms:created>
  <dcterms:modified xsi:type="dcterms:W3CDTF">2026-01-11T19:38:52Z</dcterms:modified>
  <cp:revision>2</cp:revision>
</cp:coreProperties>
</file>