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IL TRATTATO DI MAASTRICHT</w:t>
      </w:r>
    </w:p>
    <w:p>
      <w:pPr>
        <w:ind w:left="0" w:right="-1"/>
        <w:jc w:val="both"/>
        <w:rPr>
          <w:sz w:val="32"/>
          <w:szCs w:val="32"/>
        </w:rPr>
      </w:pPr>
      <w:r>
        <w:rPr>
          <w:sz w:val="32"/>
          <w:szCs w:val="32"/>
        </w:rPr>
        <w:t xml:space="preserve">Il lungo lavoro per la realizzazione del mercato comune non era ancora completo che gli Stati membri avevano già fissato nuovi e più ambiziosi obiettivi. </w:t>
      </w:r>
    </w:p>
    <w:p>
      <w:pPr>
        <w:spacing w:before="0" w:beforeAutospacing="0" w:afterAutospacing="0"/>
        <w:ind w:left="0" w:right="-1"/>
        <w:jc w:val="both"/>
        <w:rPr>
          <w:sz w:val="32"/>
          <w:szCs w:val="32"/>
        </w:rPr>
      </w:pPr>
      <w:r>
        <w:rPr>
          <w:sz w:val="32"/>
          <w:szCs w:val="32"/>
        </w:rPr>
        <w:t xml:space="preserve">Nel febbraio </w:t>
      </w:r>
      <w:r>
        <w:rPr>
          <w:b w:val="1"/>
          <w:bCs w:val="1"/>
          <w:sz w:val="32"/>
          <w:szCs w:val="32"/>
        </w:rPr>
        <w:t>1992</w:t>
      </w:r>
      <w:r>
        <w:rPr>
          <w:sz w:val="32"/>
          <w:szCs w:val="32"/>
        </w:rPr>
        <w:t xml:space="preserve">, infatti, essi firmarono il </w:t>
      </w:r>
      <w:r>
        <w:rPr>
          <w:b w:val="1"/>
          <w:bCs w:val="1"/>
          <w:sz w:val="32"/>
          <w:szCs w:val="32"/>
        </w:rPr>
        <w:t>Trattato sull’Unione europea</w:t>
      </w:r>
      <w:r>
        <w:rPr>
          <w:sz w:val="32"/>
          <w:szCs w:val="32"/>
        </w:rPr>
        <w:t xml:space="preserve"> (meglio noto come </w:t>
      </w:r>
      <w:r>
        <w:rPr>
          <w:b w:val="1"/>
          <w:bCs w:val="1"/>
          <w:sz w:val="32"/>
          <w:szCs w:val="32"/>
        </w:rPr>
        <w:t>Trattato di Maastricht</w:t>
      </w:r>
      <w:r>
        <w:rPr>
          <w:sz w:val="32"/>
          <w:szCs w:val="32"/>
        </w:rPr>
        <w:t xml:space="preserve">) con il quale veniva creata l’Unione europea, un’organizzazione che: </w:t>
      </w:r>
    </w:p>
    <w:p>
      <w:pPr>
        <w:spacing w:before="0" w:beforeAutospacing="0" w:afterAutospacing="0"/>
        <w:ind w:left="0" w:right="-1"/>
        <w:jc w:val="both"/>
        <w:rPr>
          <w:sz w:val="32"/>
          <w:szCs w:val="32"/>
        </w:rPr>
      </w:pPr>
      <w:r>
        <w:rPr>
          <w:sz w:val="32"/>
          <w:szCs w:val="32"/>
        </w:rPr>
        <w:t xml:space="preserve">• </w:t>
      </w:r>
      <w:r>
        <w:rPr>
          <w:b w:val="1"/>
          <w:bCs w:val="1"/>
          <w:sz w:val="32"/>
          <w:szCs w:val="32"/>
        </w:rPr>
        <w:t>inglobava le Comunità europee già esistenti</w:t>
      </w:r>
      <w:r>
        <w:rPr>
          <w:sz w:val="32"/>
          <w:szCs w:val="32"/>
        </w:rPr>
        <w:t>;</w:t>
      </w:r>
    </w:p>
    <w:p>
      <w:pPr>
        <w:spacing w:before="0" w:beforeAutospacing="0" w:afterAutospacing="0"/>
        <w:ind w:left="0" w:right="-1"/>
        <w:jc w:val="both"/>
        <w:rPr>
          <w:sz w:val="32"/>
          <w:szCs w:val="32"/>
        </w:rPr>
      </w:pPr>
      <w:r>
        <w:rPr>
          <w:sz w:val="32"/>
          <w:szCs w:val="32"/>
        </w:rPr>
        <w:t xml:space="preserve">• </w:t>
      </w:r>
      <w:r>
        <w:rPr>
          <w:b w:val="1"/>
          <w:bCs w:val="1"/>
          <w:sz w:val="32"/>
          <w:szCs w:val="32"/>
        </w:rPr>
        <w:t>avviava la cooperazione tra gli Stati membri anche in settori non economici</w:t>
      </w:r>
      <w:r>
        <w:rPr>
          <w:sz w:val="32"/>
          <w:szCs w:val="32"/>
        </w:rPr>
        <w:t xml:space="preserve">, come la politica estera comune, la politica di difesa europea, la cooperazione tra le forze di polizia. </w:t>
      </w:r>
    </w:p>
    <w:p>
      <w:pPr>
        <w:ind w:left="0" w:right="-1"/>
        <w:jc w:val="both"/>
        <w:rPr>
          <w:sz w:val="32"/>
          <w:szCs w:val="32"/>
        </w:rPr>
      </w:pPr>
      <w:r>
        <w:rPr>
          <w:sz w:val="32"/>
          <w:szCs w:val="32"/>
        </w:rPr>
        <w:t xml:space="preserve">Nasceva così un’organizzazione che può essere immaginata come un </w:t>
      </w:r>
      <w:r>
        <w:rPr>
          <w:b w:val="1"/>
          <w:bCs w:val="1"/>
          <w:sz w:val="32"/>
          <w:szCs w:val="32"/>
        </w:rPr>
        <w:t>tempio sorretto da tre pilastri</w:t>
      </w:r>
      <w:r>
        <w:rPr>
          <w:sz w:val="32"/>
          <w:szCs w:val="32"/>
        </w:rPr>
        <w:t>.</w:t>
      </w:r>
    </w:p>
    <w:p>
      <w:pPr>
        <w:spacing w:before="0" w:beforeAutospacing="0" w:afterAutospacing="0"/>
        <w:ind w:left="0" w:right="-1"/>
        <w:jc w:val="both"/>
        <w:rPr>
          <w:sz w:val="32"/>
          <w:szCs w:val="32"/>
        </w:rPr>
      </w:pPr>
      <w:r>
        <w:rPr>
          <w:sz w:val="32"/>
          <w:szCs w:val="32"/>
        </w:rPr>
        <w:t>Questi erano:</w:t>
      </w:r>
    </w:p>
    <w:p>
      <w:pPr>
        <w:spacing w:before="0" w:beforeAutospacing="0" w:afterAutospacing="0"/>
        <w:ind w:left="0" w:right="-1"/>
        <w:jc w:val="both"/>
        <w:rPr>
          <w:sz w:val="32"/>
          <w:szCs w:val="32"/>
        </w:rPr>
      </w:pPr>
      <w:r>
        <w:rPr>
          <w:sz w:val="32"/>
          <w:szCs w:val="32"/>
        </w:rPr>
        <w:t xml:space="preserve">• la </w:t>
      </w:r>
      <w:r>
        <w:rPr>
          <w:b w:val="1"/>
          <w:bCs w:val="1"/>
          <w:sz w:val="32"/>
          <w:szCs w:val="32"/>
        </w:rPr>
        <w:t>dimensione comunitaria</w:t>
      </w:r>
      <w:r>
        <w:rPr>
          <w:sz w:val="32"/>
          <w:szCs w:val="32"/>
        </w:rPr>
        <w:t>, rappresentata dalle materie di competenza delle vecchie comunit</w:t>
      </w:r>
      <w:r>
        <w:rPr>
          <w:rFonts w:ascii="Calibri" w:hAnsi="Calibri" w:cs="Calibri"/>
          <w:sz w:val="32"/>
          <w:szCs w:val="32"/>
        </w:rPr>
        <w:t>à</w:t>
      </w:r>
      <w:r>
        <w:rPr>
          <w:sz w:val="32"/>
          <w:szCs w:val="32"/>
        </w:rPr>
        <w:t xml:space="preserve"> (la CEE, la CECA, l</w:t>
      </w:r>
      <w:r>
        <w:rPr>
          <w:rFonts w:ascii="Calibri" w:hAnsi="Calibri" w:cs="Calibri"/>
          <w:sz w:val="32"/>
          <w:szCs w:val="32"/>
        </w:rPr>
        <w:t>’</w:t>
      </w:r>
      <w:r>
        <w:rPr>
          <w:sz w:val="32"/>
          <w:szCs w:val="32"/>
        </w:rPr>
        <w:t>Euratom) e disciplinata dalle disposizioni contenute nei Trattati istitutivi delle Comunità europee (primo pilastro);</w:t>
      </w:r>
    </w:p>
    <w:p>
      <w:pPr>
        <w:spacing w:before="0" w:beforeAutospacing="0" w:afterAutospacing="0"/>
        <w:ind w:left="0" w:right="-1"/>
        <w:jc w:val="both"/>
        <w:rPr>
          <w:sz w:val="32"/>
          <w:szCs w:val="32"/>
        </w:rPr>
      </w:pPr>
      <w:r>
        <w:rPr>
          <w:sz w:val="32"/>
          <w:szCs w:val="32"/>
        </w:rPr>
        <w:t xml:space="preserve">• la </w:t>
      </w:r>
      <w:r>
        <w:rPr>
          <w:b w:val="1"/>
          <w:bCs w:val="1"/>
          <w:sz w:val="32"/>
          <w:szCs w:val="32"/>
        </w:rPr>
        <w:t>politica estera e di sicurezza comune (PESC)</w:t>
      </w:r>
      <w:r>
        <w:rPr>
          <w:sz w:val="32"/>
          <w:szCs w:val="32"/>
        </w:rPr>
        <w:t>, disciplinata dal titolo V del Trattato sull’Unione europea (secondo pilastro);</w:t>
      </w:r>
    </w:p>
    <w:p>
      <w:pPr>
        <w:spacing w:before="0" w:beforeAutospacing="0" w:afterAutospacing="0"/>
        <w:ind w:left="0" w:right="-1"/>
        <w:jc w:val="both"/>
        <w:rPr>
          <w:sz w:val="32"/>
          <w:szCs w:val="32"/>
        </w:rPr>
      </w:pPr>
      <w:r>
        <w:rPr>
          <w:sz w:val="32"/>
          <w:szCs w:val="32"/>
        </w:rPr>
        <w:t xml:space="preserve">• la </w:t>
      </w:r>
      <w:r>
        <w:rPr>
          <w:b w:val="1"/>
          <w:bCs w:val="1"/>
          <w:sz w:val="32"/>
          <w:szCs w:val="32"/>
        </w:rPr>
        <w:t>cooperazione giudiziaria di polizia e in materia penale</w:t>
      </w:r>
      <w:r>
        <w:rPr>
          <w:sz w:val="32"/>
          <w:szCs w:val="32"/>
        </w:rPr>
        <w:t>, contemplata dal titolo VI del Trattato sull’Unione europea (terzo pilastro).</w:t>
      </w:r>
    </w:p>
    <w:p>
      <w:pPr>
        <w:spacing w:before="0" w:beforeAutospacing="0" w:afterAutospacing="0"/>
        <w:ind w:left="0" w:right="-1"/>
        <w:jc w:val="both"/>
        <w:rPr>
          <w:sz w:val="32"/>
          <w:szCs w:val="32"/>
        </w:rPr>
      </w:pPr>
      <w:r>
        <w:rPr>
          <w:sz w:val="32"/>
          <w:szCs w:val="32"/>
        </w:rPr>
        <w:t xml:space="preserve">In queste ultime due materie la collaborazione sarebbe stata gestita con il </w:t>
      </w:r>
      <w:r>
        <w:rPr>
          <w:b w:val="1"/>
          <w:bCs w:val="1"/>
          <w:sz w:val="32"/>
          <w:szCs w:val="32"/>
        </w:rPr>
        <w:t>metodo intergovernativo</w:t>
      </w:r>
      <w:r>
        <w:rPr>
          <w:sz w:val="32"/>
          <w:szCs w:val="32"/>
        </w:rPr>
        <w:t>, cio</w:t>
      </w:r>
      <w:r>
        <w:rPr>
          <w:rFonts w:ascii="Calibri" w:hAnsi="Calibri" w:cs="Calibri"/>
          <w:sz w:val="32"/>
          <w:szCs w:val="32"/>
        </w:rPr>
        <w:t>è</w:t>
      </w:r>
      <w:r>
        <w:rPr>
          <w:sz w:val="32"/>
          <w:szCs w:val="32"/>
        </w:rPr>
        <w:t xml:space="preserve"> attraverso decisioni prese di comune accordo tra i governi degli Stati membri.</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sz w:val="32"/>
          <w:szCs w:val="32"/>
        </w:rPr>
        <w:t xml:space="preserve">                                                 </w:t>
      </w:r>
      <w:r>
        <w:rPr>
          <w:b w:val="1"/>
          <w:bCs w:val="1"/>
          <w:sz w:val="32"/>
          <w:szCs w:val="32"/>
          <w:highlight w:val="yellow"/>
        </w:rPr>
        <w:t>UNIONE EUROPEA</w:t>
      </w:r>
    </w:p>
    <w:tbl>
      <w:tblPr>
        <w:tblStyle w:val="T2"/>
        <w:tblW w:w="0" w:type="auto"/>
        <w:tblLook w:val="04A0"/>
      </w:tblPr>
      <w:tblGrid/>
      <w:tr>
        <w:tc>
          <w:tcPr>
            <w:tcW w:w="3209" w:type="dxa"/>
          </w:tcPr>
          <w:p>
            <w:pPr>
              <w:ind w:left="0" w:right="-1"/>
              <w:jc w:val="both"/>
              <w:rPr>
                <w:sz w:val="32"/>
                <w:szCs w:val="32"/>
              </w:rPr>
            </w:pPr>
            <w:r>
              <w:rPr>
                <w:sz w:val="32"/>
                <w:szCs w:val="32"/>
              </w:rPr>
              <w:t xml:space="preserve">     PRIMO PILASTRO</w:t>
            </w:r>
          </w:p>
        </w:tc>
        <w:tc>
          <w:tcPr>
            <w:tcW w:w="3209" w:type="dxa"/>
          </w:tcPr>
          <w:p>
            <w:pPr>
              <w:ind w:left="0" w:right="-1"/>
              <w:jc w:val="both"/>
              <w:rPr>
                <w:sz w:val="32"/>
                <w:szCs w:val="32"/>
              </w:rPr>
            </w:pPr>
            <w:r>
              <w:rPr>
                <w:sz w:val="32"/>
                <w:szCs w:val="32"/>
              </w:rPr>
              <w:t xml:space="preserve">   SECONDO PILASTRO</w:t>
            </w:r>
          </w:p>
        </w:tc>
        <w:tc>
          <w:tcPr>
            <w:tcW w:w="3210" w:type="dxa"/>
          </w:tcPr>
          <w:p>
            <w:pPr>
              <w:ind w:left="0" w:right="-1"/>
              <w:jc w:val="both"/>
              <w:rPr>
                <w:sz w:val="32"/>
                <w:szCs w:val="32"/>
              </w:rPr>
            </w:pPr>
            <w:r>
              <w:rPr>
                <w:sz w:val="32"/>
                <w:szCs w:val="32"/>
              </w:rPr>
              <w:t xml:space="preserve">     TERZO PILASTRO</w:t>
            </w:r>
          </w:p>
        </w:tc>
      </w:tr>
      <w:tr>
        <w:tc>
          <w:tcPr>
            <w:tcW w:w="3209" w:type="dxa"/>
          </w:tcPr>
          <w:p>
            <w:pPr>
              <w:ind w:left="0" w:right="-1"/>
              <w:jc w:val="both"/>
              <w:rPr>
                <w:sz w:val="32"/>
                <w:szCs w:val="32"/>
              </w:rPr>
            </w:pPr>
            <w:r>
              <w:rPr>
                <w:sz w:val="32"/>
                <w:szCs w:val="32"/>
              </w:rPr>
              <w:t xml:space="preserve">                CE +</w:t>
            </w:r>
          </w:p>
          <w:p>
            <w:pPr>
              <w:ind w:left="0" w:right="-1"/>
              <w:jc w:val="both"/>
              <w:rPr>
                <w:sz w:val="32"/>
                <w:szCs w:val="32"/>
              </w:rPr>
            </w:pPr>
            <w:r>
              <w:rPr>
                <w:sz w:val="32"/>
                <w:szCs w:val="32"/>
              </w:rPr>
              <w:t xml:space="preserve">              CECA + </w:t>
            </w:r>
          </w:p>
          <w:p>
            <w:pPr>
              <w:ind w:left="0" w:right="-1"/>
              <w:jc w:val="both"/>
              <w:rPr>
                <w:sz w:val="32"/>
                <w:szCs w:val="32"/>
              </w:rPr>
            </w:pPr>
            <w:r>
              <w:rPr>
                <w:sz w:val="32"/>
                <w:szCs w:val="32"/>
              </w:rPr>
              <w:t xml:space="preserve">           EURATOM</w:t>
            </w:r>
          </w:p>
        </w:tc>
        <w:tc>
          <w:tcPr>
            <w:tcW w:w="3209" w:type="dxa"/>
          </w:tcPr>
          <w:p>
            <w:pPr>
              <w:ind w:left="0" w:right="-1"/>
              <w:jc w:val="both"/>
              <w:rPr>
                <w:sz w:val="32"/>
                <w:szCs w:val="32"/>
              </w:rPr>
            </w:pPr>
            <w:r>
              <w:rPr>
                <w:sz w:val="32"/>
                <w:szCs w:val="32"/>
              </w:rPr>
              <w:t xml:space="preserve">      POLITICA ESTERA</w:t>
            </w:r>
          </w:p>
          <w:p>
            <w:pPr>
              <w:ind w:left="0" w:right="-1"/>
              <w:jc w:val="both"/>
              <w:rPr>
                <w:sz w:val="32"/>
                <w:szCs w:val="32"/>
              </w:rPr>
            </w:pPr>
            <w:r>
              <w:rPr>
                <w:sz w:val="32"/>
                <w:szCs w:val="32"/>
              </w:rPr>
              <w:t xml:space="preserve">        E DI SICUREZZA</w:t>
            </w:r>
          </w:p>
          <w:p>
            <w:pPr>
              <w:ind w:left="0" w:right="-1"/>
              <w:jc w:val="both"/>
              <w:rPr>
                <w:sz w:val="32"/>
                <w:szCs w:val="32"/>
              </w:rPr>
            </w:pPr>
            <w:r>
              <w:rPr>
                <w:sz w:val="32"/>
                <w:szCs w:val="32"/>
              </w:rPr>
              <w:t xml:space="preserve">        COMUNE (PESC) </w:t>
            </w:r>
          </w:p>
        </w:tc>
        <w:tc>
          <w:tcPr>
            <w:tcW w:w="3210" w:type="dxa"/>
          </w:tcPr>
          <w:p>
            <w:pPr>
              <w:ind w:left="0" w:right="-1"/>
              <w:jc w:val="both"/>
              <w:rPr>
                <w:sz w:val="32"/>
                <w:szCs w:val="32"/>
              </w:rPr>
            </w:pPr>
            <w:r>
              <w:rPr>
                <w:sz w:val="32"/>
                <w:szCs w:val="32"/>
              </w:rPr>
              <w:t xml:space="preserve">      COOPERAZIONE</w:t>
            </w:r>
          </w:p>
          <w:p>
            <w:pPr>
              <w:ind w:left="0" w:right="-1"/>
              <w:jc w:val="both"/>
              <w:rPr>
                <w:sz w:val="32"/>
                <w:szCs w:val="32"/>
              </w:rPr>
            </w:pPr>
            <w:r>
              <w:rPr>
                <w:sz w:val="32"/>
                <w:szCs w:val="32"/>
              </w:rPr>
              <w:t xml:space="preserve">     GIUDIZIARIA E DI</w:t>
            </w:r>
          </w:p>
          <w:p>
            <w:pPr>
              <w:ind w:left="0" w:right="-1"/>
              <w:jc w:val="both"/>
              <w:rPr>
                <w:sz w:val="32"/>
                <w:szCs w:val="32"/>
              </w:rPr>
            </w:pPr>
            <w:r>
              <w:rPr>
                <w:sz w:val="32"/>
                <w:szCs w:val="32"/>
              </w:rPr>
              <w:t xml:space="preserve">   POLIZIA IN MATERIA</w:t>
            </w:r>
          </w:p>
          <w:p>
            <w:pPr>
              <w:ind w:left="0" w:right="-1"/>
              <w:jc w:val="both"/>
              <w:rPr>
                <w:sz w:val="32"/>
                <w:szCs w:val="32"/>
              </w:rPr>
            </w:pPr>
            <w:r>
              <w:rPr>
                <w:sz w:val="32"/>
                <w:szCs w:val="32"/>
              </w:rPr>
              <w:t xml:space="preserve">              PENALE</w:t>
            </w:r>
          </w:p>
        </w:tc>
      </w:tr>
      <w:tr>
        <w:tc>
          <w:tcPr>
            <w:tcW w:w="3209" w:type="dxa"/>
          </w:tcPr>
          <w:p>
            <w:pPr>
              <w:ind w:left="0" w:right="-1"/>
              <w:jc w:val="both"/>
              <w:rPr>
                <w:sz w:val="32"/>
                <w:szCs w:val="32"/>
              </w:rPr>
            </w:pPr>
            <w:r>
              <w:rPr>
                <w:sz w:val="32"/>
                <w:szCs w:val="32"/>
              </w:rPr>
              <w:t xml:space="preserve">            METODO</w:t>
            </w:r>
          </w:p>
          <w:p>
            <w:pPr>
              <w:ind w:left="0" w:right="-1"/>
              <w:jc w:val="both"/>
              <w:rPr>
                <w:sz w:val="32"/>
                <w:szCs w:val="32"/>
              </w:rPr>
            </w:pPr>
            <w:r>
              <w:rPr>
                <w:sz w:val="32"/>
                <w:szCs w:val="32"/>
              </w:rPr>
              <w:t xml:space="preserve">        COMUNITARIO</w:t>
            </w:r>
          </w:p>
        </w:tc>
        <w:tc>
          <w:tcPr>
            <w:tcW w:w="3209" w:type="dxa"/>
          </w:tcPr>
          <w:p>
            <w:pPr>
              <w:ind w:left="0" w:right="-1"/>
              <w:jc w:val="both"/>
              <w:rPr>
                <w:sz w:val="32"/>
                <w:szCs w:val="32"/>
              </w:rPr>
            </w:pPr>
            <w:r>
              <w:rPr>
                <w:sz w:val="32"/>
                <w:szCs w:val="32"/>
              </w:rPr>
              <w:t xml:space="preserve">              METODO</w:t>
            </w:r>
          </w:p>
          <w:p>
            <w:pPr>
              <w:ind w:left="0" w:right="-1"/>
              <w:jc w:val="both"/>
              <w:rPr>
                <w:sz w:val="32"/>
                <w:szCs w:val="32"/>
              </w:rPr>
            </w:pPr>
            <w:r>
              <w:rPr>
                <w:sz w:val="32"/>
                <w:szCs w:val="32"/>
              </w:rPr>
              <w:t xml:space="preserve">    INTERGOVERNATIVO</w:t>
            </w:r>
          </w:p>
        </w:tc>
        <w:tc>
          <w:tcPr>
            <w:tcW w:w="3210" w:type="dxa"/>
          </w:tcPr>
          <w:p>
            <w:pPr>
              <w:ind w:left="0" w:right="-1"/>
              <w:jc w:val="both"/>
              <w:rPr>
                <w:sz w:val="32"/>
                <w:szCs w:val="32"/>
              </w:rPr>
            </w:pPr>
            <w:r>
              <w:rPr>
                <w:sz w:val="32"/>
                <w:szCs w:val="32"/>
              </w:rPr>
              <w:t xml:space="preserve">            METODO</w:t>
            </w:r>
          </w:p>
          <w:p>
            <w:pPr>
              <w:ind w:left="0" w:right="-1"/>
              <w:jc w:val="both"/>
              <w:rPr>
                <w:sz w:val="32"/>
                <w:szCs w:val="32"/>
              </w:rPr>
            </w:pPr>
            <w:r>
              <w:rPr>
                <w:sz w:val="32"/>
                <w:szCs w:val="32"/>
              </w:rPr>
              <w:t xml:space="preserve">  INTERGOVERNATIVO</w:t>
            </w:r>
          </w:p>
        </w:tc>
      </w:tr>
    </w:tbl>
    <w:p>
      <w:pPr>
        <w:spacing w:before="0" w:beforeAutospacing="0" w:afterAutospacing="0"/>
        <w:ind w:left="0" w:right="-1"/>
        <w:jc w:val="both"/>
        <w:rPr>
          <w:b w:val="1"/>
          <w:bCs w:val="1"/>
          <w:sz w:val="32"/>
          <w:szCs w:val="32"/>
        </w:rPr>
      </w:pPr>
      <w:r>
        <w:rPr>
          <w:b w:val="1"/>
          <w:bCs w:val="1"/>
          <w:sz w:val="32"/>
          <w:szCs w:val="32"/>
          <w:highlight w:val="yellow"/>
        </w:rPr>
        <w:t>L’ EURO</w:t>
      </w:r>
    </w:p>
    <w:p>
      <w:pPr>
        <w:spacing w:before="0" w:beforeAutospacing="0" w:afterAutospacing="0"/>
        <w:ind w:left="0" w:right="-1"/>
        <w:jc w:val="both"/>
        <w:rPr>
          <w:sz w:val="32"/>
          <w:szCs w:val="32"/>
        </w:rPr>
      </w:pPr>
      <w:r>
        <w:rPr>
          <w:sz w:val="32"/>
          <w:szCs w:val="32"/>
        </w:rPr>
        <w:t xml:space="preserve">Il </w:t>
      </w:r>
      <w:r>
        <w:rPr>
          <w:b w:val="1"/>
          <w:bCs w:val="1"/>
          <w:sz w:val="32"/>
          <w:szCs w:val="32"/>
        </w:rPr>
        <w:t>Trattato di Maastricht</w:t>
      </w:r>
      <w:r>
        <w:rPr>
          <w:sz w:val="32"/>
          <w:szCs w:val="32"/>
        </w:rPr>
        <w:t xml:space="preserve"> prevedeva anche una serie di tappe da realizzare per adottare una </w:t>
      </w:r>
      <w:r>
        <w:rPr>
          <w:b w:val="1"/>
          <w:bCs w:val="1"/>
          <w:sz w:val="32"/>
          <w:szCs w:val="32"/>
        </w:rPr>
        <w:t>moneta unica</w:t>
      </w:r>
      <w:r>
        <w:rPr>
          <w:sz w:val="32"/>
          <w:szCs w:val="32"/>
        </w:rPr>
        <w:t>, l</w:t>
      </w:r>
      <w:r>
        <w:rPr>
          <w:rFonts w:ascii="Calibri" w:hAnsi="Calibri" w:cs="Calibri"/>
          <w:sz w:val="32"/>
          <w:szCs w:val="32"/>
        </w:rPr>
        <w:t>’</w:t>
      </w:r>
      <w:r>
        <w:rPr>
          <w:b w:val="1"/>
          <w:bCs w:val="1"/>
          <w:sz w:val="32"/>
          <w:szCs w:val="32"/>
        </w:rPr>
        <w:t>euro</w:t>
      </w:r>
      <w:r>
        <w:rPr>
          <w:sz w:val="32"/>
          <w:szCs w:val="32"/>
        </w:rPr>
        <w:t xml:space="preserve">, a partire dal </w:t>
      </w:r>
      <w:r>
        <w:rPr>
          <w:b w:val="1"/>
          <w:bCs w:val="1"/>
          <w:sz w:val="32"/>
          <w:szCs w:val="32"/>
        </w:rPr>
        <w:t>1</w:t>
      </w:r>
      <w:r>
        <w:rPr>
          <w:rFonts w:ascii="Calibri" w:hAnsi="Calibri" w:cs="Calibri"/>
          <w:b w:val="1"/>
          <w:bCs w:val="1"/>
          <w:sz w:val="32"/>
          <w:szCs w:val="32"/>
        </w:rPr>
        <w:t>°</w:t>
      </w:r>
      <w:r>
        <w:rPr>
          <w:b w:val="1"/>
          <w:bCs w:val="1"/>
          <w:sz w:val="32"/>
          <w:szCs w:val="32"/>
        </w:rPr>
        <w:t xml:space="preserve"> marzo 2002</w:t>
      </w:r>
      <w:r>
        <w:rPr>
          <w:sz w:val="32"/>
          <w:szCs w:val="32"/>
        </w:rPr>
        <w:t xml:space="preserve">. </w:t>
      </w:r>
    </w:p>
    <w:p>
      <w:pPr>
        <w:spacing w:before="0" w:beforeAutospacing="0" w:afterAutospacing="0"/>
        <w:ind w:left="0" w:right="-1"/>
        <w:jc w:val="both"/>
        <w:rPr>
          <w:sz w:val="32"/>
          <w:szCs w:val="32"/>
        </w:rPr>
      </w:pPr>
      <w:r>
        <w:rPr>
          <w:sz w:val="32"/>
          <w:szCs w:val="32"/>
        </w:rPr>
        <w:t>L’euro, adottato oggi da 19 Stati appartenenti all’Unione europea, rappresenta una conquista di fondamentale importanza nel processo di integrazione.</w:t>
      </w:r>
    </w:p>
    <w:p>
      <w:pPr>
        <w:spacing w:before="0" w:beforeAutospacing="0" w:afterAutospacing="0"/>
        <w:ind w:left="0" w:right="-1"/>
        <w:jc w:val="both"/>
        <w:rPr>
          <w:sz w:val="32"/>
          <w:szCs w:val="32"/>
        </w:rPr>
      </w:pPr>
      <w:r>
        <w:rPr>
          <w:sz w:val="32"/>
          <w:szCs w:val="32"/>
        </w:rPr>
        <w:t>A partire dal 1990, con la fine della divisione politico-militare dell’Europa, pur tra numerose difficoltà il processo di allargamento è proseguito e nel 2003 è stato firmato il Trattato di adesione di ben 10 Stati, 8 dei quali appartenenti all</w:t>
      </w:r>
      <w:r>
        <w:rPr>
          <w:rFonts w:ascii="Calibri" w:hAnsi="Calibri" w:cs="Calibri"/>
          <w:sz w:val="32"/>
          <w:szCs w:val="32"/>
        </w:rPr>
        <w:t>’</w:t>
      </w:r>
      <w:r>
        <w:rPr>
          <w:sz w:val="32"/>
          <w:szCs w:val="32"/>
        </w:rPr>
        <w:t xml:space="preserve">ex blocco comunista (Bulgaria, Repubblica </w:t>
      </w:r>
      <w:r>
        <w:rPr>
          <w:sz w:val="32"/>
          <w:szCs w:val="32"/>
          <w:rtl w:val="0"/>
          <w:lang w:val="it-IT" w:bidi="it-IT" w:eastAsia="it-IT"/>
        </w:rPr>
        <w:t>C</w:t>
      </w:r>
      <w:r>
        <w:rPr>
          <w:sz w:val="32"/>
          <w:szCs w:val="32"/>
        </w:rPr>
        <w:t xml:space="preserve">eca, Estonia, Lettonia, Lituania, Ungheria, Polonia, Romania, Slovenia e Slovacchia) e </w:t>
      </w:r>
    </w:p>
    <w:p>
      <w:pPr>
        <w:spacing w:before="0" w:beforeAutospacing="0" w:afterAutospacing="0"/>
        <w:ind w:left="0" w:right="-1"/>
        <w:jc w:val="both"/>
        <w:rPr>
          <w:sz w:val="32"/>
          <w:szCs w:val="32"/>
        </w:rPr>
      </w:pPr>
      <w:r>
        <w:rPr>
          <w:sz w:val="32"/>
          <w:szCs w:val="32"/>
        </w:rPr>
        <w:t xml:space="preserve">2 all’area del Mediterraneo (Cipro e Malta). </w:t>
      </w:r>
    </w:p>
    <w:p>
      <w:pPr>
        <w:spacing w:before="0" w:beforeAutospacing="0" w:afterAutospacing="0"/>
        <w:ind w:left="0" w:right="-1"/>
        <w:jc w:val="both"/>
        <w:rPr>
          <w:sz w:val="32"/>
          <w:szCs w:val="32"/>
        </w:rPr>
      </w:pPr>
      <w:r>
        <w:rPr>
          <w:sz w:val="32"/>
          <w:szCs w:val="32"/>
        </w:rPr>
        <w:t xml:space="preserve">A partire dal </w:t>
      </w:r>
      <w:r>
        <w:rPr>
          <w:b w:val="1"/>
          <w:bCs w:val="1"/>
          <w:sz w:val="32"/>
          <w:szCs w:val="32"/>
        </w:rPr>
        <w:t>1° maggio 2004</w:t>
      </w:r>
      <w:r>
        <w:rPr>
          <w:sz w:val="32"/>
          <w:szCs w:val="32"/>
        </w:rPr>
        <w:t xml:space="preserve">, pertanto, il numero degli Stati membri dell’Unione europea è passato da 15 a </w:t>
      </w:r>
      <w:r>
        <w:rPr>
          <w:b w:val="1"/>
          <w:bCs w:val="1"/>
          <w:sz w:val="32"/>
          <w:szCs w:val="32"/>
        </w:rPr>
        <w:t>25</w:t>
      </w:r>
      <w:r>
        <w:rPr>
          <w:sz w:val="32"/>
          <w:szCs w:val="32"/>
        </w:rPr>
        <w:t xml:space="preserve">, realizzando il più importante allargamento della storia europea. Il 25 aprile 2005 anche la </w:t>
      </w:r>
      <w:r>
        <w:rPr>
          <w:b w:val="1"/>
          <w:bCs w:val="1"/>
          <w:sz w:val="32"/>
          <w:szCs w:val="32"/>
        </w:rPr>
        <w:t>Bulgaria</w:t>
      </w:r>
      <w:r>
        <w:rPr>
          <w:sz w:val="32"/>
          <w:szCs w:val="32"/>
        </w:rPr>
        <w:t xml:space="preserve"> e </w:t>
      </w:r>
    </w:p>
    <w:p>
      <w:pPr>
        <w:spacing w:before="0" w:beforeAutospacing="0" w:afterAutospacing="0"/>
        <w:ind w:left="0" w:right="-1"/>
        <w:jc w:val="both"/>
        <w:rPr>
          <w:sz w:val="32"/>
          <w:szCs w:val="32"/>
        </w:rPr>
      </w:pPr>
      <w:r>
        <w:rPr>
          <w:sz w:val="32"/>
          <w:szCs w:val="32"/>
        </w:rPr>
        <w:t xml:space="preserve">la </w:t>
      </w:r>
      <w:r>
        <w:rPr>
          <w:b w:val="1"/>
          <w:bCs w:val="1"/>
          <w:sz w:val="32"/>
          <w:szCs w:val="32"/>
        </w:rPr>
        <w:t>Romania</w:t>
      </w:r>
      <w:r>
        <w:rPr>
          <w:sz w:val="32"/>
          <w:szCs w:val="32"/>
        </w:rPr>
        <w:t xml:space="preserve"> hanno firmato i trattati di adesione e sono entrati a pieno titolo nell</w:t>
      </w:r>
      <w:r>
        <w:rPr>
          <w:rFonts w:ascii="Calibri" w:hAnsi="Calibri" w:cs="Calibri"/>
          <w:sz w:val="32"/>
          <w:szCs w:val="32"/>
        </w:rPr>
        <w:t>’</w:t>
      </w:r>
      <w:r>
        <w:rPr>
          <w:sz w:val="32"/>
          <w:szCs w:val="32"/>
        </w:rPr>
        <w:t xml:space="preserve">Unione nel 2007, portando il numero dei paesi membri a </w:t>
      </w:r>
      <w:r>
        <w:rPr>
          <w:b w:val="1"/>
          <w:bCs w:val="1"/>
          <w:sz w:val="32"/>
          <w:szCs w:val="32"/>
        </w:rPr>
        <w:t>27</w:t>
      </w:r>
      <w:r>
        <w:rPr>
          <w:sz w:val="32"/>
          <w:szCs w:val="32"/>
        </w:rPr>
        <w:t xml:space="preserve">. </w:t>
      </w:r>
    </w:p>
    <w:p>
      <w:pPr>
        <w:spacing w:before="0" w:beforeAutospacing="0" w:afterAutospacing="0"/>
        <w:ind w:left="0" w:right="-1"/>
        <w:jc w:val="both"/>
        <w:rPr>
          <w:sz w:val="32"/>
          <w:szCs w:val="32"/>
        </w:rPr>
      </w:pPr>
      <w:r>
        <w:rPr>
          <w:sz w:val="32"/>
          <w:szCs w:val="32"/>
        </w:rPr>
        <w:t xml:space="preserve">Nel </w:t>
      </w:r>
      <w:r>
        <w:rPr>
          <w:b w:val="1"/>
          <w:bCs w:val="1"/>
          <w:sz w:val="32"/>
          <w:szCs w:val="32"/>
        </w:rPr>
        <w:t>2013</w:t>
      </w:r>
      <w:r>
        <w:rPr>
          <w:sz w:val="32"/>
          <w:szCs w:val="32"/>
        </w:rPr>
        <w:t xml:space="preserve"> è entrata nell’Unione la </w:t>
      </w:r>
      <w:r>
        <w:rPr>
          <w:b w:val="1"/>
          <w:bCs w:val="1"/>
          <w:sz w:val="32"/>
          <w:szCs w:val="32"/>
        </w:rPr>
        <w:t>Croazia</w:t>
      </w:r>
      <w:r>
        <w:rPr>
          <w:sz w:val="32"/>
          <w:szCs w:val="32"/>
        </w:rPr>
        <w:t xml:space="preserve"> fissando a </w:t>
      </w:r>
      <w:r>
        <w:rPr>
          <w:b w:val="1"/>
          <w:bCs w:val="1"/>
          <w:sz w:val="32"/>
          <w:szCs w:val="32"/>
        </w:rPr>
        <w:t xml:space="preserve">28 </w:t>
      </w:r>
      <w:r>
        <w:rPr>
          <w:sz w:val="32"/>
          <w:szCs w:val="32"/>
        </w:rPr>
        <w:t>il numero attuale degli Stati membri dell</w:t>
      </w:r>
      <w:r>
        <w:rPr>
          <w:rFonts w:ascii="Calibri" w:hAnsi="Calibri" w:cs="Calibri"/>
          <w:sz w:val="32"/>
          <w:szCs w:val="32"/>
        </w:rPr>
        <w:t>’</w:t>
      </w:r>
      <w:r>
        <w:rPr>
          <w:sz w:val="32"/>
          <w:szCs w:val="32"/>
        </w:rPr>
        <w:t>organizzazione.</w:t>
      </w:r>
    </w:p>
    <w:p>
      <w:pPr>
        <w:spacing w:before="0" w:beforeAutospacing="0" w:afterAutospacing="0"/>
        <w:ind w:left="0" w:right="-1"/>
        <w:jc w:val="both"/>
        <w:rPr>
          <w:sz w:val="32"/>
          <w:szCs w:val="32"/>
        </w:rPr>
      </w:pPr>
    </w:p>
    <w:p>
      <w:pPr>
        <w:pStyle w:val="P2"/>
        <w:jc w:val="center"/>
      </w:pPr>
      <w:r>
        <w:t>LA BREXIT</w:t>
      </w:r>
    </w:p>
    <w:p>
      <w:pPr>
        <w:ind w:left="0" w:right="-1"/>
        <w:jc w:val="both"/>
        <w:rPr>
          <w:sz w:val="32"/>
          <w:szCs w:val="32"/>
        </w:rPr>
      </w:pPr>
      <w:r>
        <w:rPr>
          <w:sz w:val="32"/>
          <w:szCs w:val="32"/>
        </w:rPr>
        <w:t xml:space="preserve">La Brexit (da “Britain exit") è il processo di uscita del Regno Unito dall'Unione Europea, formalizzato dopo il referendum del 23 giugno 2016, che ha sancito la volontà di lasciare l'UE, completata ufficialmente il </w:t>
      </w:r>
      <w:r>
        <w:rPr>
          <w:b w:val="1"/>
          <w:bCs w:val="1"/>
          <w:sz w:val="32"/>
          <w:szCs w:val="32"/>
        </w:rPr>
        <w:t>31 gennaio 2020</w:t>
      </w:r>
      <w:r>
        <w:rPr>
          <w:sz w:val="32"/>
          <w:szCs w:val="32"/>
        </w:rPr>
        <w:t xml:space="preserve">, seguita da un periodo di transizione terminato il </w:t>
      </w:r>
      <w:r>
        <w:rPr>
          <w:b w:val="1"/>
          <w:bCs w:val="1"/>
          <w:sz w:val="32"/>
          <w:szCs w:val="32"/>
        </w:rPr>
        <w:t>31 dicembre 2020</w:t>
      </w:r>
      <w:r>
        <w:rPr>
          <w:sz w:val="32"/>
          <w:szCs w:val="32"/>
        </w:rPr>
        <w:t>. Questo evento ha comportato la fine della libera circolazione di persone, merci e capitali, la rinegoziazione dei rapporti commerciali e l'introduzione di nuove procedure doganali e politiche, con impatti significativi su economia, diritto e società per entrambe le parti.</w:t>
      </w:r>
      <w:r>
        <w:rPr>
          <w:sz w:val="32"/>
          <w:szCs w:val="32"/>
          <w:rtl w:val="0"/>
          <w:lang w:val="it-IT" w:bidi="it-IT" w:eastAsia="it-IT"/>
        </w:rPr>
        <w:t xml:space="preserve"> Con l'uscita della Gran Bretagna dall' UE, ques'ultima torna ad avere nuovamente 27 Stati membri.</w:t>
      </w:r>
      <w:r>
        <w:rPr>
          <w:sz w:val="32"/>
          <w:szCs w:val="32"/>
        </w:rPr>
        <w:t> </w:t>
      </w:r>
    </w:p>
    <w:p>
      <w:pPr>
        <w:ind w:left="0" w:right="-1"/>
        <w:jc w:val="both"/>
        <w:rPr>
          <w:sz w:val="32"/>
          <w:szCs w:val="32"/>
        </w:rPr>
      </w:pPr>
    </w:p>
    <w:p>
      <w:pPr>
        <w:ind w:left="0" w:right="-1"/>
        <w:jc w:val="both"/>
        <w:rPr>
          <w:sz w:val="32"/>
          <w:szCs w:val="32"/>
        </w:rPr>
      </w:pPr>
    </w:p>
    <w:p>
      <w:pPr>
        <w:ind w:left="0" w:right="-1"/>
        <w:jc w:val="both"/>
        <w:rPr>
          <w:sz w:val="32"/>
          <w:szCs w:val="32"/>
        </w:rPr>
      </w:pPr>
    </w:p>
    <w:p>
      <w:pPr>
        <w:ind w:left="0" w:right="-1"/>
        <w:jc w:val="both"/>
        <w:rPr>
          <w:sz w:val="32"/>
          <w:szCs w:val="32"/>
        </w:rPr>
      </w:pPr>
    </w:p>
    <w:p>
      <w:pPr>
        <w:ind w:left="0" w:right="-1"/>
        <w:jc w:val="both"/>
        <w:rPr>
          <w:sz w:val="32"/>
          <w:szCs w:val="32"/>
        </w:rPr>
      </w:pPr>
    </w:p>
    <w:p>
      <w:pPr>
        <w:pStyle w:val="P1"/>
        <w:jc w:val="center"/>
      </w:pPr>
      <w:r>
        <w:t>IL TRATTATO DI LISBONA</w:t>
      </w:r>
    </w:p>
    <w:p>
      <w:pPr>
        <w:ind w:left="0" w:right="-1"/>
        <w:jc w:val="both"/>
        <w:rPr>
          <w:sz w:val="32"/>
          <w:szCs w:val="32"/>
        </w:rPr>
      </w:pPr>
      <w:r>
        <w:rPr>
          <w:sz w:val="32"/>
          <w:szCs w:val="32"/>
        </w:rPr>
        <w:t xml:space="preserve">Man mano che il processo di integrazione europea proseguiva e l’Unione si allargava a nuovi membri, varie </w:t>
      </w:r>
      <w:r>
        <w:rPr>
          <w:b w:val="1"/>
          <w:bCs w:val="1"/>
          <w:sz w:val="32"/>
          <w:szCs w:val="32"/>
        </w:rPr>
        <w:t>conferenze intergovernative</w:t>
      </w:r>
      <w:r>
        <w:rPr>
          <w:sz w:val="32"/>
          <w:szCs w:val="32"/>
        </w:rPr>
        <w:t xml:space="preserve"> (incontri tra i rappresentati dei governi di paesi diversi per discutere questioni di interesse comune)</w:t>
      </w:r>
      <w:r>
        <w:rPr>
          <w:b w:val="1"/>
          <w:bCs w:val="1"/>
          <w:sz w:val="32"/>
          <w:szCs w:val="32"/>
        </w:rPr>
        <w:t xml:space="preserve"> </w:t>
      </w:r>
      <w:r>
        <w:rPr>
          <w:sz w:val="32"/>
          <w:szCs w:val="32"/>
        </w:rPr>
        <w:t xml:space="preserve">hanno rivisto i trattati istitutivi nel tentativo di dare radici giuridiche solide e omogenee a un’organizzazione sempre più complessa. </w:t>
      </w:r>
    </w:p>
    <w:p>
      <w:pPr>
        <w:spacing w:before="0" w:beforeAutospacing="0" w:afterAutospacing="0"/>
        <w:ind w:left="0" w:right="-1"/>
        <w:jc w:val="both"/>
        <w:rPr>
          <w:sz w:val="32"/>
          <w:szCs w:val="32"/>
        </w:rPr>
      </w:pPr>
      <w:r>
        <w:rPr>
          <w:sz w:val="32"/>
          <w:szCs w:val="32"/>
        </w:rPr>
        <w:t xml:space="preserve">L’esperimento più audace è stato intrapreso agli inizi degli anni 2000, con il </w:t>
      </w:r>
      <w:r>
        <w:rPr>
          <w:b w:val="1"/>
          <w:bCs w:val="1"/>
          <w:sz w:val="32"/>
          <w:szCs w:val="32"/>
        </w:rPr>
        <w:t>progetto di una Costituzione europea</w:t>
      </w:r>
      <w:r>
        <w:rPr>
          <w:sz w:val="32"/>
          <w:szCs w:val="32"/>
        </w:rPr>
        <w:t>, cioè di una Carta fondamentale che sostituisse i singoli trattati e desse all</w:t>
      </w:r>
      <w:r>
        <w:rPr>
          <w:rFonts w:ascii="Calibri" w:hAnsi="Calibri" w:cs="Calibri"/>
          <w:sz w:val="32"/>
          <w:szCs w:val="32"/>
        </w:rPr>
        <w:t>’</w:t>
      </w:r>
      <w:r>
        <w:rPr>
          <w:sz w:val="32"/>
          <w:szCs w:val="32"/>
        </w:rPr>
        <w:t xml:space="preserve">Unione un unico testo condiviso, in tutto simile, per funzioni e importanza, a quelli in vigore negli Stati nazionali. Il progetto </w:t>
      </w:r>
      <w:r>
        <w:rPr>
          <w:rFonts w:ascii="Calibri" w:hAnsi="Calibri" w:cs="Calibri"/>
          <w:sz w:val="32"/>
          <w:szCs w:val="32"/>
        </w:rPr>
        <w:t>è</w:t>
      </w:r>
      <w:r>
        <w:rPr>
          <w:sz w:val="32"/>
          <w:szCs w:val="32"/>
        </w:rPr>
        <w:t xml:space="preserve"> naufragato nel 2005, ma il fallimento non ha cancellato l’esigenza di ripensare e aggiornare le regole su cui si fonda la collaborazione tra gli Stati europei.</w:t>
      </w:r>
    </w:p>
    <w:p>
      <w:pPr>
        <w:spacing w:before="0" w:beforeAutospacing="0" w:afterAutospacing="0"/>
        <w:ind w:left="0" w:right="-1"/>
        <w:jc w:val="both"/>
        <w:rPr>
          <w:sz w:val="32"/>
          <w:szCs w:val="32"/>
        </w:rPr>
      </w:pPr>
      <w:r>
        <w:rPr>
          <w:sz w:val="32"/>
          <w:szCs w:val="32"/>
        </w:rPr>
        <w:t>Nel 2007 è stata presa la decisione di far ripartire il progetto di riforma del sistema comunitario. In quella sede, tuttavia, si è deciso di abbandonare l</w:t>
      </w:r>
      <w:r>
        <w:rPr>
          <w:rFonts w:ascii="Calibri" w:hAnsi="Calibri" w:cs="Calibri"/>
          <w:sz w:val="32"/>
          <w:szCs w:val="32"/>
        </w:rPr>
        <w:t>’</w:t>
      </w:r>
      <w:r>
        <w:rPr>
          <w:sz w:val="32"/>
          <w:szCs w:val="32"/>
        </w:rPr>
        <w:t xml:space="preserve">idea di adottare una Costituzione in sostituzione dei Trattati, per procedere invece a una loro </w:t>
      </w:r>
      <w:r>
        <w:rPr>
          <w:b w:val="1"/>
          <w:bCs w:val="1"/>
          <w:sz w:val="32"/>
          <w:szCs w:val="32"/>
        </w:rPr>
        <w:t>riformulazione</w:t>
      </w:r>
      <w:r>
        <w:rPr>
          <w:sz w:val="32"/>
          <w:szCs w:val="32"/>
        </w:rPr>
        <w:t>.</w:t>
      </w:r>
    </w:p>
    <w:p>
      <w:pPr>
        <w:spacing w:before="0" w:beforeAutospacing="0" w:afterAutospacing="0"/>
        <w:ind w:left="0" w:right="-1"/>
        <w:jc w:val="both"/>
        <w:rPr>
          <w:sz w:val="32"/>
          <w:szCs w:val="32"/>
        </w:rPr>
      </w:pPr>
      <w:r>
        <w:rPr>
          <w:sz w:val="32"/>
          <w:szCs w:val="32"/>
        </w:rPr>
        <w:t xml:space="preserve">ESEMPIO: Il Trattato di Roma del 1957, che istituisce la Comunità economica europea, </w:t>
      </w:r>
      <w:r>
        <w:rPr>
          <w:rFonts w:ascii="Calibri" w:hAnsi="Calibri" w:cs="Calibri"/>
          <w:sz w:val="32"/>
          <w:szCs w:val="32"/>
        </w:rPr>
        <w:t>è</w:t>
      </w:r>
      <w:r>
        <w:rPr>
          <w:sz w:val="32"/>
          <w:szCs w:val="32"/>
        </w:rPr>
        <w:t xml:space="preserve"> in vigore ma </w:t>
      </w:r>
      <w:r>
        <w:rPr>
          <w:rFonts w:ascii="Calibri" w:hAnsi="Calibri" w:cs="Calibri"/>
          <w:sz w:val="32"/>
          <w:szCs w:val="32"/>
        </w:rPr>
        <w:t>è</w:t>
      </w:r>
      <w:r>
        <w:rPr>
          <w:sz w:val="32"/>
          <w:szCs w:val="32"/>
        </w:rPr>
        <w:t xml:space="preserve"> stato modificato in molti punti e ha preso il nome di </w:t>
      </w:r>
      <w:r>
        <w:rPr>
          <w:b w:val="1"/>
          <w:bCs w:val="1"/>
          <w:sz w:val="32"/>
          <w:szCs w:val="32"/>
        </w:rPr>
        <w:t>Trattato sul funzionamento dell</w:t>
      </w:r>
      <w:r>
        <w:rPr>
          <w:rFonts w:ascii="Calibri" w:hAnsi="Calibri" w:cs="Calibri"/>
          <w:b w:val="1"/>
          <w:bCs w:val="1"/>
          <w:sz w:val="32"/>
          <w:szCs w:val="32"/>
        </w:rPr>
        <w:t>’</w:t>
      </w:r>
      <w:r>
        <w:rPr>
          <w:b w:val="1"/>
          <w:bCs w:val="1"/>
          <w:sz w:val="32"/>
          <w:szCs w:val="32"/>
        </w:rPr>
        <w:t>Unione europea (TFUE).</w:t>
      </w:r>
      <w:r>
        <w:rPr>
          <w:sz w:val="32"/>
          <w:szCs w:val="32"/>
        </w:rPr>
        <w:t xml:space="preserve"> Il Trattato di Maastricht del 1992, che ha dato vita all’Unione europea, è in vigore ma ha preso il nome di </w:t>
      </w:r>
      <w:r>
        <w:rPr>
          <w:b w:val="1"/>
          <w:bCs w:val="1"/>
          <w:sz w:val="32"/>
          <w:szCs w:val="32"/>
        </w:rPr>
        <w:t>Trattato sull’Unione europea (TUE)</w:t>
      </w:r>
      <w:r>
        <w:rPr>
          <w:sz w:val="32"/>
          <w:szCs w:val="32"/>
        </w:rPr>
        <w:t>.</w:t>
      </w:r>
    </w:p>
    <w:p>
      <w:pPr>
        <w:spacing w:before="0" w:beforeAutospacing="0" w:afterAutospacing="0"/>
        <w:ind w:left="0" w:right="-1"/>
        <w:jc w:val="both"/>
        <w:rPr>
          <w:sz w:val="32"/>
          <w:szCs w:val="32"/>
        </w:rPr>
      </w:pPr>
      <w:r>
        <w:rPr>
          <w:sz w:val="32"/>
          <w:szCs w:val="32"/>
        </w:rPr>
        <w:t xml:space="preserve">In quest’ottica, il </w:t>
      </w:r>
      <w:r>
        <w:rPr>
          <w:b w:val="1"/>
          <w:bCs w:val="1"/>
          <w:sz w:val="32"/>
          <w:szCs w:val="32"/>
        </w:rPr>
        <w:t>13 dicembre 2007</w:t>
      </w:r>
      <w:r>
        <w:rPr>
          <w:sz w:val="32"/>
          <w:szCs w:val="32"/>
        </w:rPr>
        <w:t xml:space="preserve">, gli Stati membri dell’Unione hanno firmato il </w:t>
      </w:r>
      <w:r>
        <w:rPr>
          <w:b w:val="1"/>
          <w:bCs w:val="1"/>
          <w:sz w:val="32"/>
          <w:szCs w:val="32"/>
        </w:rPr>
        <w:t>Trattato di Lisbona</w:t>
      </w:r>
      <w:r>
        <w:rPr>
          <w:sz w:val="32"/>
          <w:szCs w:val="32"/>
        </w:rPr>
        <w:t xml:space="preserve">, che apporta una serie di modifiche ai trattati europei. Il Trattato è entrato in vigore il </w:t>
      </w:r>
      <w:r>
        <w:rPr>
          <w:b w:val="1"/>
          <w:bCs w:val="1"/>
          <w:sz w:val="32"/>
          <w:szCs w:val="32"/>
        </w:rPr>
        <w:t>1° dicembre del 2009</w:t>
      </w:r>
      <w:r>
        <w:rPr>
          <w:sz w:val="32"/>
          <w:szCs w:val="32"/>
        </w:rPr>
        <w:t xml:space="preserve">. </w:t>
      </w:r>
    </w:p>
    <w:p>
      <w:pPr>
        <w:spacing w:before="0" w:beforeAutospacing="0" w:afterAutospacing="0"/>
        <w:ind w:left="0" w:right="-1"/>
        <w:jc w:val="both"/>
        <w:rPr>
          <w:sz w:val="32"/>
          <w:szCs w:val="32"/>
        </w:rPr>
      </w:pPr>
      <w:r>
        <w:rPr>
          <w:sz w:val="32"/>
          <w:szCs w:val="32"/>
        </w:rPr>
        <w:t xml:space="preserve">Con il Trattato di Lisbona la Comunità europea viene “assorbita” dall’Unione europea e nei documenti il termine </w:t>
      </w:r>
      <w:r>
        <w:rPr>
          <w:rFonts w:ascii="Calibri" w:hAnsi="Calibri" w:cs="Calibri"/>
          <w:sz w:val="32"/>
          <w:szCs w:val="32"/>
        </w:rPr>
        <w:t>“</w:t>
      </w:r>
      <w:r>
        <w:rPr>
          <w:sz w:val="32"/>
          <w:szCs w:val="32"/>
        </w:rPr>
        <w:t>Comunit</w:t>
      </w:r>
      <w:r>
        <w:rPr>
          <w:rFonts w:ascii="Calibri" w:hAnsi="Calibri" w:cs="Calibri"/>
          <w:sz w:val="32"/>
          <w:szCs w:val="32"/>
        </w:rPr>
        <w:t>à”</w:t>
      </w:r>
      <w:r>
        <w:rPr>
          <w:sz w:val="32"/>
          <w:szCs w:val="32"/>
        </w:rPr>
        <w:t xml:space="preserve"> scompare, sostituito dal termine </w:t>
      </w:r>
      <w:r>
        <w:rPr>
          <w:rFonts w:ascii="Calibri" w:hAnsi="Calibri" w:cs="Calibri"/>
          <w:sz w:val="32"/>
          <w:szCs w:val="32"/>
        </w:rPr>
        <w:t>“</w:t>
      </w:r>
      <w:r>
        <w:rPr>
          <w:sz w:val="32"/>
          <w:szCs w:val="32"/>
        </w:rPr>
        <w:t>Unione</w:t>
      </w:r>
      <w:r>
        <w:rPr>
          <w:rFonts w:ascii="Calibri" w:hAnsi="Calibri" w:cs="Calibri"/>
          <w:sz w:val="32"/>
          <w:szCs w:val="32"/>
        </w:rPr>
        <w:t>”</w:t>
      </w:r>
      <w:r>
        <w:rPr>
          <w:sz w:val="32"/>
          <w:szCs w:val="32"/>
        </w:rPr>
        <w:t>.</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tbl>
      <w:tblPr>
        <w:tblStyle w:val="T2"/>
        <w:tblW w:w="0" w:type="auto"/>
        <w:tblLook w:val="04A0"/>
      </w:tblPr>
      <w:tblGrid/>
      <w:tr>
        <w:tc>
          <w:tcPr>
            <w:tcW w:w="4814" w:type="dxa"/>
          </w:tcPr>
          <w:p>
            <w:pPr>
              <w:ind w:left="0" w:right="-1"/>
              <w:jc w:val="both"/>
              <w:rPr>
                <w:sz w:val="32"/>
                <w:szCs w:val="32"/>
              </w:rPr>
            </w:pPr>
            <w:r>
              <w:rPr>
                <w:sz w:val="32"/>
                <w:szCs w:val="32"/>
              </w:rPr>
              <w:t xml:space="preserve">    Trattato sull’Unione europea</w:t>
            </w:r>
          </w:p>
          <w:p>
            <w:pPr>
              <w:ind w:left="0" w:right="-1"/>
              <w:jc w:val="both"/>
              <w:rPr>
                <w:sz w:val="32"/>
                <w:szCs w:val="32"/>
              </w:rPr>
            </w:pPr>
            <w:r>
              <w:rPr>
                <w:sz w:val="32"/>
                <w:szCs w:val="32"/>
              </w:rPr>
              <w:t xml:space="preserve">              (Maastricht, 1992)</w:t>
            </w:r>
          </w:p>
        </w:tc>
        <w:tc>
          <w:tcPr>
            <w:tcW w:w="4814" w:type="dxa"/>
          </w:tcPr>
          <w:p>
            <w:pPr>
              <w:ind w:left="0" w:right="-1"/>
              <w:jc w:val="both"/>
              <w:rPr>
                <w:sz w:val="32"/>
                <w:szCs w:val="32"/>
              </w:rPr>
            </w:pPr>
            <w:r>
              <w:rPr>
                <w:sz w:val="32"/>
                <w:szCs w:val="32"/>
              </w:rPr>
              <w:t>Allargamento della collaborazione a</w:t>
            </w:r>
          </w:p>
          <w:p>
            <w:pPr>
              <w:ind w:left="0" w:right="-1"/>
              <w:jc w:val="both"/>
              <w:rPr>
                <w:sz w:val="32"/>
                <w:szCs w:val="32"/>
              </w:rPr>
            </w:pPr>
            <w:r>
              <w:rPr>
                <w:sz w:val="32"/>
                <w:szCs w:val="32"/>
              </w:rPr>
              <w:t>materie non economiche (struttura</w:t>
            </w:r>
          </w:p>
          <w:p>
            <w:pPr>
              <w:ind w:left="0" w:right="-1"/>
              <w:jc w:val="both"/>
              <w:rPr>
                <w:sz w:val="32"/>
                <w:szCs w:val="32"/>
              </w:rPr>
            </w:pPr>
            <w:r>
              <w:rPr>
                <w:sz w:val="32"/>
                <w:szCs w:val="32"/>
              </w:rPr>
              <w:t xml:space="preserve">a tre pilastri); </w:t>
            </w:r>
          </w:p>
          <w:p>
            <w:pPr>
              <w:ind w:left="0" w:right="-1"/>
              <w:jc w:val="both"/>
              <w:rPr>
                <w:sz w:val="32"/>
                <w:szCs w:val="32"/>
              </w:rPr>
            </w:pPr>
            <w:r>
              <w:rPr>
                <w:sz w:val="32"/>
                <w:szCs w:val="32"/>
              </w:rPr>
              <w:t>metodo intergovernativo;</w:t>
            </w:r>
          </w:p>
          <w:p>
            <w:pPr>
              <w:ind w:left="0" w:right="-1"/>
              <w:jc w:val="both"/>
              <w:rPr>
                <w:sz w:val="32"/>
                <w:szCs w:val="32"/>
              </w:rPr>
            </w:pPr>
            <w:r>
              <w:rPr>
                <w:sz w:val="32"/>
                <w:szCs w:val="32"/>
              </w:rPr>
              <w:t>adozione della moneta unica (euro)</w:t>
            </w:r>
          </w:p>
          <w:p>
            <w:pPr>
              <w:ind w:left="0" w:right="-1"/>
              <w:jc w:val="both"/>
              <w:rPr>
                <w:sz w:val="32"/>
                <w:szCs w:val="32"/>
              </w:rPr>
            </w:pPr>
            <w:r>
              <w:rPr>
                <w:sz w:val="32"/>
                <w:szCs w:val="32"/>
              </w:rPr>
              <w:t>dal 2002.</w:t>
            </w:r>
          </w:p>
        </w:tc>
      </w:tr>
      <w:tr>
        <w:tc>
          <w:tcPr>
            <w:tcW w:w="4814" w:type="dxa"/>
          </w:tcPr>
          <w:p>
            <w:pPr>
              <w:ind w:left="0" w:right="-1"/>
              <w:jc w:val="both"/>
              <w:rPr>
                <w:sz w:val="32"/>
                <w:szCs w:val="32"/>
              </w:rPr>
            </w:pPr>
            <w:r>
              <w:rPr>
                <w:sz w:val="32"/>
                <w:szCs w:val="32"/>
              </w:rPr>
              <w:t xml:space="preserve">       Trattato di Lisbona (2009)</w:t>
            </w:r>
          </w:p>
        </w:tc>
        <w:tc>
          <w:tcPr>
            <w:tcW w:w="4814" w:type="dxa"/>
          </w:tcPr>
          <w:p>
            <w:pPr>
              <w:ind w:left="0" w:right="-1"/>
              <w:jc w:val="both"/>
              <w:rPr>
                <w:sz w:val="32"/>
                <w:szCs w:val="32"/>
              </w:rPr>
            </w:pPr>
            <w:r>
              <w:rPr>
                <w:sz w:val="32"/>
                <w:szCs w:val="32"/>
              </w:rPr>
              <w:t>Riformulazione dei Trattati istitutivi</w:t>
            </w:r>
          </w:p>
          <w:p>
            <w:pPr>
              <w:ind w:left="0" w:right="-1"/>
              <w:jc w:val="both"/>
              <w:rPr>
                <w:sz w:val="32"/>
                <w:szCs w:val="32"/>
              </w:rPr>
            </w:pPr>
            <w:r>
              <w:rPr>
                <w:sz w:val="32"/>
                <w:szCs w:val="32"/>
              </w:rPr>
              <w:t>delle Comunità economiche;</w:t>
            </w:r>
          </w:p>
          <w:p>
            <w:pPr>
              <w:ind w:left="0" w:right="-1"/>
              <w:jc w:val="both"/>
              <w:rPr>
                <w:sz w:val="32"/>
                <w:szCs w:val="32"/>
              </w:rPr>
            </w:pPr>
            <w:r>
              <w:rPr>
                <w:sz w:val="32"/>
                <w:szCs w:val="32"/>
              </w:rPr>
              <w:t>scompaiono le Comunità europee;</w:t>
            </w:r>
          </w:p>
          <w:p>
            <w:pPr>
              <w:ind w:left="0" w:right="-1"/>
              <w:jc w:val="both"/>
              <w:rPr>
                <w:sz w:val="32"/>
                <w:szCs w:val="32"/>
              </w:rPr>
            </w:pPr>
            <w:r>
              <w:rPr>
                <w:sz w:val="32"/>
                <w:szCs w:val="32"/>
              </w:rPr>
              <w:t>le loro competenze passano all’Unione europea.</w:t>
            </w:r>
          </w:p>
        </w:tc>
      </w:tr>
      <w:tr>
        <w:tc>
          <w:tcPr>
            <w:tcW w:w="4814" w:type="dxa"/>
          </w:tcPr>
          <w:p>
            <w:pPr>
              <w:ind w:left="0" w:right="-1"/>
              <w:jc w:val="both"/>
              <w:rPr>
                <w:sz w:val="32"/>
                <w:szCs w:val="32"/>
              </w:rPr>
            </w:pPr>
            <w:r>
              <w:rPr>
                <w:sz w:val="32"/>
                <w:szCs w:val="32"/>
              </w:rPr>
              <w:t xml:space="preserve">                Anni 1990-2013</w:t>
            </w:r>
          </w:p>
        </w:tc>
        <w:tc>
          <w:tcPr>
            <w:tcW w:w="4814" w:type="dxa"/>
          </w:tcPr>
          <w:p>
            <w:pPr>
              <w:ind w:left="0" w:right="-1"/>
              <w:jc w:val="both"/>
              <w:rPr>
                <w:sz w:val="32"/>
                <w:szCs w:val="32"/>
              </w:rPr>
            </w:pPr>
            <w:r>
              <w:rPr>
                <w:sz w:val="32"/>
                <w:szCs w:val="32"/>
              </w:rPr>
              <w:t>Allargamento dell’Unione: gli Stati</w:t>
            </w:r>
          </w:p>
          <w:p>
            <w:pPr>
              <w:ind w:left="0" w:right="-1"/>
              <w:jc w:val="both"/>
              <w:rPr>
                <w:sz w:val="32"/>
                <w:szCs w:val="32"/>
              </w:rPr>
            </w:pPr>
            <w:r>
              <w:rPr>
                <w:sz w:val="32"/>
                <w:szCs w:val="32"/>
              </w:rPr>
              <w:t>membri diventano 28, per poi tornare a 27 con la Brexit nel 2020.</w:t>
            </w:r>
          </w:p>
        </w:tc>
      </w:tr>
    </w:tbl>
    <w:p>
      <w:pPr>
        <w:spacing w:before="0" w:beforeAutospacing="0" w:afterAutospacing="0"/>
        <w:ind w:left="0" w:right="-1"/>
        <w:jc w:val="both"/>
        <w:rPr>
          <w:sz w:val="32"/>
          <w:szCs w:val="32"/>
        </w:rPr>
      </w:pPr>
    </w:p>
    <w:p>
      <w:pPr>
        <w:pStyle w:val="P2"/>
        <w:jc w:val="center"/>
      </w:pPr>
      <w:r>
        <w:t>LO “SPAZIO SCHENGEN”</w:t>
      </w:r>
    </w:p>
    <w:p>
      <w:pPr>
        <w:ind w:left="0" w:right="-1"/>
        <w:jc w:val="both"/>
        <w:rPr>
          <w:sz w:val="32"/>
          <w:szCs w:val="32"/>
        </w:rPr>
      </w:pPr>
      <w:r>
        <w:rPr>
          <w:sz w:val="32"/>
          <w:szCs w:val="32"/>
        </w:rPr>
        <w:t>Al fine di facilitare ulteriormente la libera circolazione delle persone, diversi Stati europei hanno firmato nel 1985 l</w:t>
      </w:r>
      <w:r>
        <w:rPr>
          <w:rFonts w:ascii="Calibri" w:hAnsi="Calibri" w:cs="Calibri"/>
          <w:sz w:val="32"/>
          <w:szCs w:val="32"/>
        </w:rPr>
        <w:t>’</w:t>
      </w:r>
      <w:r>
        <w:rPr>
          <w:b w:val="1"/>
          <w:bCs w:val="1"/>
          <w:sz w:val="32"/>
          <w:szCs w:val="32"/>
        </w:rPr>
        <w:t>Accordo di Schengen</w:t>
      </w:r>
      <w:r>
        <w:rPr>
          <w:sz w:val="32"/>
          <w:szCs w:val="32"/>
        </w:rPr>
        <w:t xml:space="preserve">, dal nome dalla cittadina danese dove è stato firmato, che istituisce il cosiddetto </w:t>
      </w:r>
      <w:r>
        <w:rPr>
          <w:rFonts w:ascii="Calibri" w:hAnsi="Calibri" w:cs="Calibri"/>
          <w:sz w:val="32"/>
          <w:szCs w:val="32"/>
        </w:rPr>
        <w:t>“</w:t>
      </w:r>
      <w:r>
        <w:rPr>
          <w:sz w:val="32"/>
          <w:szCs w:val="32"/>
        </w:rPr>
        <w:t>spazio Schengen</w:t>
      </w:r>
      <w:r>
        <w:rPr>
          <w:rFonts w:ascii="Calibri" w:hAnsi="Calibri" w:cs="Calibri"/>
          <w:sz w:val="32"/>
          <w:szCs w:val="32"/>
        </w:rPr>
        <w:t>”</w:t>
      </w:r>
      <w:r>
        <w:rPr>
          <w:sz w:val="32"/>
          <w:szCs w:val="32"/>
        </w:rPr>
        <w:t>.</w:t>
      </w:r>
    </w:p>
    <w:p>
      <w:pPr>
        <w:ind w:left="0" w:right="-1"/>
        <w:jc w:val="both"/>
        <w:rPr>
          <w:sz w:val="32"/>
          <w:szCs w:val="32"/>
        </w:rPr>
      </w:pPr>
      <w:r>
        <w:rPr>
          <w:sz w:val="32"/>
          <w:szCs w:val="32"/>
        </w:rPr>
        <w:t xml:space="preserve">Lo </w:t>
      </w:r>
      <w:r>
        <w:rPr>
          <w:b w:val="1"/>
          <w:bCs w:val="1"/>
          <w:sz w:val="32"/>
          <w:szCs w:val="32"/>
        </w:rPr>
        <w:t xml:space="preserve">spazio Schengen </w:t>
      </w:r>
      <w:r>
        <w:rPr>
          <w:sz w:val="32"/>
          <w:szCs w:val="32"/>
        </w:rPr>
        <w:t xml:space="preserve">è una zona di libera circolazione all’interno della quale sono stati aboliti i controlli alle frontiere per </w:t>
      </w:r>
      <w:r>
        <w:rPr>
          <w:b w:val="1"/>
          <w:bCs w:val="1"/>
          <w:sz w:val="32"/>
          <w:szCs w:val="32"/>
        </w:rPr>
        <w:t>tutti i viaggiatori</w:t>
      </w:r>
      <w:r>
        <w:rPr>
          <w:sz w:val="32"/>
          <w:szCs w:val="32"/>
        </w:rPr>
        <w:t>, salvo circostanze eccezionali. Lo spazio Schengen è attualmente composto da 26 paesi, di cui 22 membri dell</w:t>
      </w:r>
      <w:r>
        <w:rPr>
          <w:rFonts w:ascii="Calibri" w:hAnsi="Calibri" w:cs="Calibri"/>
          <w:sz w:val="32"/>
          <w:szCs w:val="32"/>
        </w:rPr>
        <w:t>’</w:t>
      </w:r>
      <w:r>
        <w:rPr>
          <w:sz w:val="32"/>
          <w:szCs w:val="32"/>
        </w:rPr>
        <w:t xml:space="preserve">Unione europea, compresa l’Italia, e quattro non membri (Islanda, Liechtenstein, Norvegia e Svizzera). </w:t>
      </w:r>
    </w:p>
    <w:p>
      <w:pPr>
        <w:spacing w:before="0" w:beforeAutospacing="0" w:afterAutospacing="0"/>
        <w:ind w:left="0" w:right="-1"/>
        <w:jc w:val="both"/>
        <w:rPr>
          <w:sz w:val="32"/>
          <w:szCs w:val="32"/>
        </w:rPr>
      </w:pPr>
      <w:r>
        <w:rPr>
          <w:sz w:val="32"/>
          <w:szCs w:val="32"/>
        </w:rPr>
        <w:t xml:space="preserve">All’interno di questa zona i cittadini dell’Unione europea e quelli di paesi terzi possono spostarsi liberamente senza essere sottoposti a controlli alle frontiere. Tuttavia, per garantire la sicurezza, gli Stati membri che si trovano ai confini di questo spazio hanno la responsabilità di organizzare controlli rigorosi alle frontiere nei confronti di coloro che desiderano entrarvi. </w:t>
      </w:r>
    </w:p>
    <w:p>
      <w:pPr>
        <w:spacing w:before="0" w:beforeAutospacing="0" w:afterAutospacing="0"/>
        <w:ind w:left="0" w:right="-1"/>
        <w:jc w:val="both"/>
        <w:rPr>
          <w:sz w:val="32"/>
          <w:szCs w:val="32"/>
        </w:rPr>
      </w:pPr>
      <w:r>
        <w:rPr>
          <w:sz w:val="32"/>
          <w:szCs w:val="32"/>
        </w:rPr>
        <w:t xml:space="preserve">Tra la fine del 2015 e l’inizio del 2016 diversi paesi appartenenti all’area Schengen ha deciso però </w:t>
      </w:r>
      <w:r>
        <w:rPr>
          <w:b w:val="1"/>
          <w:bCs w:val="1"/>
          <w:sz w:val="32"/>
          <w:szCs w:val="32"/>
        </w:rPr>
        <w:t>di reintrodurre i controlli alle frontiere interne</w:t>
      </w:r>
      <w:r>
        <w:rPr>
          <w:sz w:val="32"/>
          <w:szCs w:val="32"/>
        </w:rPr>
        <w:t xml:space="preserve">, soprattutto in considerazione dell’enorme numero di </w:t>
      </w:r>
      <w:r>
        <w:rPr>
          <w:b w:val="1"/>
          <w:bCs w:val="1"/>
          <w:sz w:val="32"/>
          <w:szCs w:val="32"/>
        </w:rPr>
        <w:t xml:space="preserve">migranti </w:t>
      </w:r>
      <w:r>
        <w:rPr>
          <w:sz w:val="32"/>
          <w:szCs w:val="32"/>
        </w:rPr>
        <w:t>sbarcati in Europa dall’Africa, dalla Siria, dal Medio Oriente. I governi di questi paesi temono di non riuscire a gestire un tale numero di rifugiati e richiedenti asilo, con gravi conseguenze sia per l’ordine pubblico interno sia per gli equilibri internazionali. La stessa decisione di reintrodurre i controlli è stata fonte di discussioni e polemiche e costituisce uno dei principali motivi di tensione internazionale dei nostri giorni.</w:t>
      </w: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rPr/>
  </w:style>
  <w:style w:type="character" w:styleId="C1">
    <w:name w:val="Line Number"/>
    <w:basedOn w:val="C0"/>
    <w:semiHidden/>
    <w:rPr/>
  </w:style>
  <w:style w:type="character" w:styleId="C2">
    <w:name w:val="Hyperlink"/>
    <w:basedOn w:val="C0"/>
    <w:rPr>
      <w:color w:val="0563C1" w:themeColor="hyperlink"/>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character" w:styleId="C18">
    <w:name w:val="Unresolved Mention1"/>
    <w:basedOn w:val="C0"/>
    <w:semiHidden/>
    <w:rPr>
      <w:color w:val="605E5C"/>
      <w:shd w:val="clear" w:color="auto" w:fill="E1DFDD"/>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Grid"/>
    <w:basedOn w:val="T0"/>
    <w:pPr>
      <w:spacing w:before="0" w:after="0" w:beforeAutospacing="0" w:afterAutospacing="0"/>
    </w:pPr>
    <w:tblPr>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2026-01-12T07:28:20Z</dcterms:created>
  <dcterms:modified xsi:type="dcterms:W3CDTF">2026-01-12T07:32:26Z</dcterms:modified>
  <cp:revision>2</cp:revision>
</cp:coreProperties>
</file>