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pStyle w:val="P1"/>
        <w:jc w:val="center"/>
      </w:pPr>
      <w:r>
        <w:t>LE ISTITUZIONI DELL’UNIONE EUROPEA</w:t>
      </w:r>
    </w:p>
    <w:p>
      <w:pPr>
        <w:ind w:left="0" w:right="-1"/>
        <w:jc w:val="both"/>
        <w:rPr>
          <w:sz w:val="32"/>
          <w:szCs w:val="32"/>
        </w:rPr>
      </w:pPr>
      <w:r>
        <w:rPr>
          <w:sz w:val="32"/>
          <w:szCs w:val="32"/>
        </w:rPr>
        <w:t xml:space="preserve">L’Unione europea persegue i suoi obiettivi grazie all’opera di </w:t>
      </w:r>
      <w:r>
        <w:rPr>
          <w:b w:val="1"/>
          <w:bCs w:val="1"/>
          <w:sz w:val="32"/>
          <w:szCs w:val="32"/>
        </w:rPr>
        <w:t>sette istituzioni</w:t>
      </w:r>
      <w:r>
        <w:rPr>
          <w:sz w:val="32"/>
          <w:szCs w:val="32"/>
        </w:rPr>
        <w:t xml:space="preserve">, che sono: </w:t>
      </w:r>
    </w:p>
    <w:p>
      <w:pPr>
        <w:ind w:left="0" w:right="-1"/>
        <w:jc w:val="both"/>
        <w:rPr>
          <w:sz w:val="32"/>
          <w:szCs w:val="32"/>
        </w:rPr>
      </w:pPr>
      <w:r>
        <w:rPr>
          <w:sz w:val="32"/>
          <w:szCs w:val="32"/>
        </w:rPr>
        <w:t xml:space="preserve">• il </w:t>
      </w:r>
      <w:r>
        <w:rPr>
          <w:b w:val="1"/>
          <w:bCs w:val="1"/>
          <w:sz w:val="32"/>
          <w:szCs w:val="32"/>
        </w:rPr>
        <w:t>Parlamento europeo</w:t>
      </w:r>
      <w:r>
        <w:rPr>
          <w:sz w:val="32"/>
          <w:szCs w:val="32"/>
        </w:rPr>
        <w:t xml:space="preserve">, che esercita congiuntamente al Consiglio la </w:t>
      </w:r>
      <w:r>
        <w:rPr>
          <w:b w:val="1"/>
          <w:bCs w:val="1"/>
          <w:sz w:val="32"/>
          <w:szCs w:val="32"/>
        </w:rPr>
        <w:t>funzione legislativa e di bilancio</w:t>
      </w:r>
      <w:r>
        <w:rPr>
          <w:sz w:val="32"/>
          <w:szCs w:val="32"/>
        </w:rPr>
        <w:t xml:space="preserve">; </w:t>
      </w:r>
    </w:p>
    <w:p>
      <w:pPr>
        <w:ind w:left="0" w:right="-1"/>
        <w:jc w:val="both"/>
        <w:rPr>
          <w:sz w:val="32"/>
          <w:szCs w:val="32"/>
        </w:rPr>
      </w:pPr>
      <w:r>
        <w:rPr>
          <w:sz w:val="32"/>
          <w:szCs w:val="32"/>
        </w:rPr>
        <w:t xml:space="preserve">• il </w:t>
      </w:r>
      <w:r>
        <w:rPr>
          <w:b w:val="1"/>
          <w:bCs w:val="1"/>
          <w:sz w:val="32"/>
          <w:szCs w:val="32"/>
        </w:rPr>
        <w:t>Consiglio europeo</w:t>
      </w:r>
      <w:r>
        <w:rPr>
          <w:sz w:val="32"/>
          <w:szCs w:val="32"/>
        </w:rPr>
        <w:t xml:space="preserve">, che dà all’Unione gli impulsi necessari al suo sviluppo e ne </w:t>
      </w:r>
      <w:r>
        <w:rPr>
          <w:b w:val="1"/>
          <w:bCs w:val="1"/>
          <w:sz w:val="32"/>
          <w:szCs w:val="32"/>
        </w:rPr>
        <w:t>definisce gli orientamenti e le priorit</w:t>
      </w:r>
      <w:r>
        <w:rPr>
          <w:rFonts w:ascii="Calibri" w:hAnsi="Calibri" w:cs="Calibri"/>
          <w:b w:val="1"/>
          <w:bCs w:val="1"/>
          <w:sz w:val="32"/>
          <w:szCs w:val="32"/>
        </w:rPr>
        <w:t>à</w:t>
      </w:r>
      <w:r>
        <w:rPr>
          <w:b w:val="1"/>
          <w:bCs w:val="1"/>
          <w:sz w:val="32"/>
          <w:szCs w:val="32"/>
        </w:rPr>
        <w:t xml:space="preserve"> politiche generali</w:t>
      </w:r>
      <w:r>
        <w:rPr>
          <w:sz w:val="32"/>
          <w:szCs w:val="32"/>
        </w:rPr>
        <w:t xml:space="preserve">; </w:t>
      </w:r>
    </w:p>
    <w:p>
      <w:pPr>
        <w:ind w:left="0" w:right="-1"/>
        <w:jc w:val="both"/>
        <w:rPr>
          <w:sz w:val="32"/>
          <w:szCs w:val="32"/>
        </w:rPr>
      </w:pPr>
      <w:r>
        <w:rPr>
          <w:sz w:val="32"/>
          <w:szCs w:val="32"/>
        </w:rPr>
        <w:t xml:space="preserve">• il </w:t>
      </w:r>
      <w:r>
        <w:rPr>
          <w:b w:val="1"/>
          <w:bCs w:val="1"/>
          <w:sz w:val="32"/>
          <w:szCs w:val="32"/>
        </w:rPr>
        <w:t>Consiglio dell’Unione europea</w:t>
      </w:r>
      <w:r>
        <w:rPr>
          <w:sz w:val="32"/>
          <w:szCs w:val="32"/>
        </w:rPr>
        <w:t xml:space="preserve">, che esercita congiuntamente al Parlamento la </w:t>
      </w:r>
      <w:r>
        <w:rPr>
          <w:b w:val="1"/>
          <w:bCs w:val="1"/>
          <w:sz w:val="32"/>
          <w:szCs w:val="32"/>
        </w:rPr>
        <w:t>funzione legislativa e di bilancio</w:t>
      </w:r>
      <w:r>
        <w:rPr>
          <w:sz w:val="32"/>
          <w:szCs w:val="32"/>
        </w:rPr>
        <w:t xml:space="preserve">; </w:t>
      </w:r>
    </w:p>
    <w:p>
      <w:pPr>
        <w:ind w:left="0" w:right="-1"/>
        <w:jc w:val="both"/>
        <w:rPr>
          <w:sz w:val="32"/>
          <w:szCs w:val="32"/>
        </w:rPr>
      </w:pPr>
      <w:r>
        <w:rPr>
          <w:sz w:val="32"/>
          <w:szCs w:val="32"/>
        </w:rPr>
        <w:t xml:space="preserve">• la </w:t>
      </w:r>
      <w:r>
        <w:rPr>
          <w:b w:val="1"/>
          <w:bCs w:val="1"/>
          <w:sz w:val="32"/>
          <w:szCs w:val="32"/>
        </w:rPr>
        <w:t>Commissione europea</w:t>
      </w:r>
      <w:r>
        <w:rPr>
          <w:sz w:val="32"/>
          <w:szCs w:val="32"/>
        </w:rPr>
        <w:t xml:space="preserve">, cui compete una </w:t>
      </w:r>
      <w:r>
        <w:rPr>
          <w:b w:val="1"/>
          <w:bCs w:val="1"/>
          <w:sz w:val="32"/>
          <w:szCs w:val="32"/>
        </w:rPr>
        <w:t>funzione esecutiva</w:t>
      </w:r>
      <w:r>
        <w:rPr>
          <w:sz w:val="32"/>
          <w:szCs w:val="32"/>
        </w:rPr>
        <w:t xml:space="preserve">; </w:t>
      </w:r>
    </w:p>
    <w:p>
      <w:pPr>
        <w:ind w:left="0" w:right="-1"/>
        <w:jc w:val="both"/>
        <w:rPr>
          <w:sz w:val="32"/>
          <w:szCs w:val="32"/>
        </w:rPr>
      </w:pPr>
      <w:r>
        <w:rPr>
          <w:sz w:val="32"/>
          <w:szCs w:val="32"/>
        </w:rPr>
        <w:t xml:space="preserve">• la </w:t>
      </w:r>
      <w:r>
        <w:rPr>
          <w:b w:val="1"/>
          <w:bCs w:val="1"/>
          <w:sz w:val="32"/>
          <w:szCs w:val="32"/>
        </w:rPr>
        <w:t>Corte di giustizia dell’Unione europea</w:t>
      </w:r>
      <w:r>
        <w:rPr>
          <w:sz w:val="32"/>
          <w:szCs w:val="32"/>
        </w:rPr>
        <w:t xml:space="preserve">, con </w:t>
      </w:r>
      <w:r>
        <w:rPr>
          <w:b w:val="1"/>
          <w:bCs w:val="1"/>
          <w:sz w:val="32"/>
          <w:szCs w:val="32"/>
        </w:rPr>
        <w:t>funzioni giurisdizionali</w:t>
      </w:r>
      <w:r>
        <w:rPr>
          <w:sz w:val="32"/>
          <w:szCs w:val="32"/>
        </w:rPr>
        <w:t xml:space="preserve">; </w:t>
      </w:r>
    </w:p>
    <w:p>
      <w:pPr>
        <w:ind w:left="0" w:right="-1"/>
        <w:jc w:val="both"/>
        <w:rPr>
          <w:sz w:val="32"/>
          <w:szCs w:val="32"/>
        </w:rPr>
      </w:pPr>
      <w:r>
        <w:rPr>
          <w:sz w:val="32"/>
          <w:szCs w:val="32"/>
        </w:rPr>
        <w:t xml:space="preserve">• la </w:t>
      </w:r>
      <w:r>
        <w:rPr>
          <w:b w:val="1"/>
          <w:bCs w:val="1"/>
          <w:sz w:val="32"/>
          <w:szCs w:val="32"/>
        </w:rPr>
        <w:t>Banca centrale europea</w:t>
      </w:r>
      <w:r>
        <w:rPr>
          <w:sz w:val="32"/>
          <w:szCs w:val="32"/>
        </w:rPr>
        <w:t xml:space="preserve">, che con le banche centrali nazionali conduce la </w:t>
      </w:r>
      <w:r>
        <w:rPr>
          <w:b w:val="1"/>
          <w:bCs w:val="1"/>
          <w:sz w:val="32"/>
          <w:szCs w:val="32"/>
        </w:rPr>
        <w:t>politica monetaria</w:t>
      </w:r>
      <w:r>
        <w:rPr>
          <w:sz w:val="32"/>
          <w:szCs w:val="32"/>
        </w:rPr>
        <w:t xml:space="preserve"> dell</w:t>
      </w:r>
      <w:r>
        <w:rPr>
          <w:rFonts w:ascii="Calibri" w:hAnsi="Calibri" w:cs="Calibri"/>
          <w:sz w:val="32"/>
          <w:szCs w:val="32"/>
        </w:rPr>
        <w:t>’</w:t>
      </w:r>
      <w:r>
        <w:rPr>
          <w:sz w:val="32"/>
          <w:szCs w:val="32"/>
        </w:rPr>
        <w:t xml:space="preserve">Unione; </w:t>
      </w:r>
    </w:p>
    <w:p>
      <w:pPr>
        <w:ind w:left="0" w:right="-1"/>
        <w:jc w:val="both"/>
        <w:rPr>
          <w:sz w:val="32"/>
          <w:szCs w:val="32"/>
        </w:rPr>
      </w:pPr>
      <w:r>
        <w:rPr>
          <w:sz w:val="32"/>
          <w:szCs w:val="32"/>
        </w:rPr>
        <w:t xml:space="preserve">• la </w:t>
      </w:r>
      <w:r>
        <w:rPr>
          <w:b w:val="1"/>
          <w:bCs w:val="1"/>
          <w:sz w:val="32"/>
          <w:szCs w:val="32"/>
        </w:rPr>
        <w:t>Corte dei conti</w:t>
      </w:r>
      <w:r>
        <w:rPr>
          <w:sz w:val="32"/>
          <w:szCs w:val="32"/>
        </w:rPr>
        <w:t xml:space="preserve">, che ha funzioni di </w:t>
      </w:r>
      <w:r>
        <w:rPr>
          <w:b w:val="1"/>
          <w:bCs w:val="1"/>
          <w:sz w:val="32"/>
          <w:szCs w:val="32"/>
        </w:rPr>
        <w:t>controllo sulla gestione finanziaria</w:t>
      </w:r>
      <w:r>
        <w:rPr>
          <w:sz w:val="32"/>
          <w:szCs w:val="32"/>
        </w:rPr>
        <w:t>.</w:t>
      </w:r>
    </w:p>
    <w:p>
      <w:pPr>
        <w:ind w:left="0" w:right="-1"/>
        <w:jc w:val="both"/>
        <w:rPr>
          <w:sz w:val="32"/>
          <w:szCs w:val="32"/>
        </w:rPr>
      </w:pPr>
    </w:p>
    <w:p>
      <w:pPr>
        <w:pStyle w:val="P2"/>
        <w:jc w:val="center"/>
      </w:pPr>
      <w:r>
        <w:t>IL PARLAMENTO EUROPEO</w:t>
      </w:r>
    </w:p>
    <w:p>
      <w:pPr>
        <w:ind w:left="0" w:right="-1"/>
        <w:jc w:val="both"/>
        <w:rPr>
          <w:sz w:val="32"/>
          <w:szCs w:val="32"/>
        </w:rPr>
      </w:pPr>
      <w:r>
        <w:rPr>
          <w:sz w:val="32"/>
          <w:szCs w:val="32"/>
        </w:rPr>
        <w:t xml:space="preserve">Il </w:t>
      </w:r>
      <w:r>
        <w:rPr>
          <w:b w:val="1"/>
          <w:bCs w:val="1"/>
          <w:sz w:val="32"/>
          <w:szCs w:val="32"/>
        </w:rPr>
        <w:t>Parlamento europeo</w:t>
      </w:r>
      <w:r>
        <w:rPr>
          <w:sz w:val="32"/>
          <w:szCs w:val="32"/>
        </w:rPr>
        <w:t xml:space="preserve"> è l’organo di controllo politico dell’Unione. La sua composizione </w:t>
      </w:r>
      <w:r>
        <w:rPr>
          <w:b w:val="1"/>
          <w:bCs w:val="1"/>
          <w:sz w:val="32"/>
          <w:szCs w:val="32"/>
        </w:rPr>
        <w:t>attuale (legislatura 2024-2029) è di 720 eurodeputati.</w:t>
      </w:r>
      <w:r>
        <w:rPr>
          <w:sz w:val="32"/>
          <w:szCs w:val="32"/>
        </w:rPr>
        <w:t xml:space="preserve"> I Trattati stabiliscono che il Parlamento</w:t>
      </w:r>
      <w:r>
        <w:rPr>
          <w:b w:val="1"/>
          <w:bCs w:val="1"/>
          <w:sz w:val="32"/>
          <w:szCs w:val="32"/>
        </w:rPr>
        <w:t xml:space="preserve"> non può essere superiore a 750 membri eurodeputati (più il presidente eletto dagli stessi eurodeputati per un mandato di due anni e mezzo rinnovabile)</w:t>
      </w:r>
      <w:r>
        <w:rPr>
          <w:sz w:val="32"/>
          <w:szCs w:val="32"/>
        </w:rPr>
        <w:t xml:space="preserve">, eletti a suffragio universale diretto dai cittadini degli Stati membri per un periodo di </w:t>
      </w:r>
      <w:r>
        <w:rPr>
          <w:b w:val="1"/>
          <w:bCs w:val="1"/>
          <w:sz w:val="32"/>
          <w:szCs w:val="32"/>
        </w:rPr>
        <w:t>cinque anni</w:t>
      </w:r>
      <w:r>
        <w:rPr>
          <w:sz w:val="32"/>
          <w:szCs w:val="32"/>
        </w:rPr>
        <w:t xml:space="preserve">. Il numero di rappresentanti per ciascuno Stato dipende dalla popolazione dello Stato stesso (gli Stati con più abitanti hanno più deputati). </w:t>
      </w:r>
    </w:p>
    <w:p>
      <w:pPr>
        <w:spacing w:before="0" w:beforeAutospacing="0" w:afterAutospacing="0"/>
        <w:ind w:left="0" w:right="-1"/>
        <w:jc w:val="both"/>
        <w:rPr>
          <w:sz w:val="32"/>
          <w:szCs w:val="32"/>
        </w:rPr>
      </w:pPr>
      <w:r>
        <w:rPr>
          <w:sz w:val="32"/>
          <w:szCs w:val="32"/>
        </w:rPr>
        <w:t xml:space="preserve">Il Parlamento ha la sua sede ufficiale a </w:t>
      </w:r>
      <w:r>
        <w:rPr>
          <w:b w:val="1"/>
          <w:bCs w:val="1"/>
          <w:sz w:val="32"/>
          <w:szCs w:val="32"/>
        </w:rPr>
        <w:t>Strasburgo</w:t>
      </w:r>
      <w:r>
        <w:rPr>
          <w:sz w:val="32"/>
          <w:szCs w:val="32"/>
        </w:rPr>
        <w:t xml:space="preserve">, in Francia, anche se alcune riunioni si tengono a </w:t>
      </w:r>
      <w:r>
        <w:rPr>
          <w:b w:val="1"/>
          <w:bCs w:val="1"/>
          <w:sz w:val="32"/>
          <w:szCs w:val="32"/>
        </w:rPr>
        <w:t xml:space="preserve">Bruxelles </w:t>
      </w:r>
      <w:r>
        <w:rPr>
          <w:sz w:val="32"/>
          <w:szCs w:val="32"/>
        </w:rPr>
        <w:t>(Belgio) e gli uffici amministrativi sono dislocati a</w:t>
      </w:r>
      <w:r>
        <w:rPr>
          <w:b w:val="1"/>
          <w:bCs w:val="1"/>
          <w:sz w:val="32"/>
          <w:szCs w:val="32"/>
        </w:rPr>
        <w:t xml:space="preserve"> Lussemburgo</w:t>
      </w:r>
      <w:r>
        <w:rPr>
          <w:sz w:val="32"/>
          <w:szCs w:val="32"/>
        </w:rPr>
        <w:t>.</w:t>
      </w:r>
    </w:p>
    <w:p>
      <w:pPr>
        <w:ind w:left="0" w:right="-1"/>
        <w:jc w:val="both"/>
        <w:rPr>
          <w:sz w:val="32"/>
          <w:szCs w:val="32"/>
        </w:rPr>
      </w:pPr>
      <w:r>
        <w:rPr>
          <w:b w:val="1"/>
          <w:bCs w:val="1"/>
          <w:sz w:val="32"/>
          <w:szCs w:val="32"/>
          <w:highlight w:val="yellow"/>
        </w:rPr>
        <w:t>LE FUNZIONI DEL PARLAMENTO</w:t>
      </w:r>
    </w:p>
    <w:p>
      <w:pPr>
        <w:spacing w:before="0" w:beforeAutospacing="0" w:afterAutospacing="0"/>
        <w:ind w:left="0" w:right="-1"/>
        <w:jc w:val="both"/>
        <w:rPr>
          <w:sz w:val="32"/>
          <w:szCs w:val="32"/>
        </w:rPr>
      </w:pPr>
      <w:r>
        <w:rPr>
          <w:sz w:val="32"/>
          <w:szCs w:val="32"/>
        </w:rPr>
        <w:t xml:space="preserve">Il Parlamento ha funzioni legislative, di supervisione e di bilancio. In merito alla funzione legislativa, il </w:t>
      </w:r>
      <w:r>
        <w:rPr>
          <w:b w:val="1"/>
          <w:bCs w:val="1"/>
          <w:sz w:val="32"/>
          <w:szCs w:val="32"/>
        </w:rPr>
        <w:t>Parlamento approva la legislazione dell</w:t>
      </w:r>
      <w:r>
        <w:rPr>
          <w:rFonts w:ascii="Calibri" w:hAnsi="Calibri" w:cs="Calibri"/>
          <w:b w:val="1"/>
          <w:bCs w:val="1"/>
          <w:sz w:val="32"/>
          <w:szCs w:val="32"/>
        </w:rPr>
        <w:t>’</w:t>
      </w:r>
      <w:r>
        <w:rPr>
          <w:b w:val="1"/>
          <w:bCs w:val="1"/>
          <w:sz w:val="32"/>
          <w:szCs w:val="32"/>
        </w:rPr>
        <w:t>Unione</w:t>
      </w:r>
      <w:r>
        <w:rPr>
          <w:sz w:val="32"/>
          <w:szCs w:val="32"/>
        </w:rPr>
        <w:t xml:space="preserve"> insieme al Consiglio dell</w:t>
      </w:r>
      <w:r>
        <w:rPr>
          <w:rFonts w:ascii="Calibri" w:hAnsi="Calibri" w:cs="Calibri"/>
          <w:sz w:val="32"/>
          <w:szCs w:val="32"/>
        </w:rPr>
        <w:t>’</w:t>
      </w:r>
      <w:r>
        <w:rPr>
          <w:sz w:val="32"/>
          <w:szCs w:val="32"/>
        </w:rPr>
        <w:t xml:space="preserve">Unione su proposta della Commissione. </w:t>
      </w:r>
    </w:p>
    <w:p>
      <w:pPr>
        <w:ind w:left="0" w:right="-1"/>
        <w:jc w:val="both"/>
        <w:rPr>
          <w:sz w:val="32"/>
          <w:szCs w:val="32"/>
        </w:rPr>
      </w:pPr>
      <w:r>
        <w:rPr>
          <w:sz w:val="32"/>
          <w:szCs w:val="32"/>
        </w:rPr>
        <w:t xml:space="preserve">Il Parlamento esercita poteri di </w:t>
      </w:r>
      <w:r>
        <w:rPr>
          <w:b w:val="1"/>
          <w:bCs w:val="1"/>
          <w:sz w:val="32"/>
          <w:szCs w:val="32"/>
        </w:rPr>
        <w:t>supervisione e controllo</w:t>
      </w:r>
      <w:r>
        <w:rPr>
          <w:sz w:val="32"/>
          <w:szCs w:val="32"/>
        </w:rPr>
        <w:t xml:space="preserve"> nei confronti di tutte le altre istituzioni dell’Unione. Per quanto riguarda la funzione di controllo, particolarmente importante è quella svolta nei confronti della Commissione. Il Parlamento infatti:</w:t>
      </w:r>
    </w:p>
    <w:p>
      <w:pPr>
        <w:ind w:left="0" w:right="-1"/>
        <w:jc w:val="both"/>
        <w:rPr>
          <w:sz w:val="32"/>
          <w:szCs w:val="32"/>
        </w:rPr>
      </w:pPr>
      <w:r>
        <w:rPr>
          <w:sz w:val="32"/>
          <w:szCs w:val="32"/>
        </w:rPr>
        <w:t>• elegge il Presidente della Commissione;</w:t>
      </w:r>
    </w:p>
    <w:p>
      <w:pPr>
        <w:ind w:left="0" w:right="-1"/>
        <w:jc w:val="both"/>
        <w:rPr>
          <w:sz w:val="32"/>
          <w:szCs w:val="32"/>
        </w:rPr>
      </w:pPr>
      <w:r>
        <w:rPr>
          <w:sz w:val="32"/>
          <w:szCs w:val="32"/>
        </w:rPr>
        <w:t xml:space="preserve">• approva la Commissione in quanto organo, cioè l’insieme dei commissari. </w:t>
      </w:r>
    </w:p>
    <w:p>
      <w:pPr>
        <w:ind w:left="0" w:right="-1"/>
        <w:jc w:val="both"/>
        <w:rPr>
          <w:sz w:val="32"/>
          <w:szCs w:val="32"/>
        </w:rPr>
      </w:pPr>
      <w:r>
        <w:rPr>
          <w:sz w:val="32"/>
          <w:szCs w:val="32"/>
        </w:rPr>
        <w:t xml:space="preserve">I singoli commissari non possono esercitare la propria carica se non sono approvati dal Parlamento. Quest’ultimo, infine, può votare una </w:t>
      </w:r>
      <w:r>
        <w:rPr>
          <w:b w:val="1"/>
          <w:bCs w:val="1"/>
          <w:sz w:val="32"/>
          <w:szCs w:val="32"/>
        </w:rPr>
        <w:t>mozione di censura</w:t>
      </w:r>
      <w:r>
        <w:rPr>
          <w:sz w:val="32"/>
          <w:szCs w:val="32"/>
        </w:rPr>
        <w:t xml:space="preserve">, obbligando la Commissione a dimettersi. La mozione di censura è un atto del Parlamento europeo che contesta il comportamento tenuto dalla Commissione europea in determinate circostanze deve essere approvata a </w:t>
      </w:r>
      <w:r>
        <w:rPr>
          <w:b w:val="1"/>
          <w:bCs w:val="1"/>
          <w:sz w:val="32"/>
          <w:szCs w:val="32"/>
        </w:rPr>
        <w:t>maggioranza qualificata</w:t>
      </w:r>
      <w:r>
        <w:rPr>
          <w:sz w:val="32"/>
          <w:szCs w:val="32"/>
        </w:rPr>
        <w:t>. Pu</w:t>
      </w:r>
      <w:r>
        <w:rPr>
          <w:rFonts w:ascii="Calibri" w:hAnsi="Calibri" w:cs="Calibri"/>
          <w:sz w:val="32"/>
          <w:szCs w:val="32"/>
        </w:rPr>
        <w:t>ò</w:t>
      </w:r>
      <w:r>
        <w:rPr>
          <w:sz w:val="32"/>
          <w:szCs w:val="32"/>
        </w:rPr>
        <w:t xml:space="preserve"> essere paragonata alla mozione di sfiducia prevista nei Parlamenti nazionali e comporta l’obbligo per la Commissione di dimettersi.</w:t>
      </w:r>
    </w:p>
    <w:p>
      <w:pPr>
        <w:ind w:left="0" w:right="-1"/>
        <w:jc w:val="both"/>
        <w:rPr>
          <w:sz w:val="32"/>
          <w:szCs w:val="32"/>
        </w:rPr>
      </w:pPr>
      <w:r>
        <w:rPr>
          <w:sz w:val="32"/>
          <w:szCs w:val="32"/>
        </w:rPr>
        <w:t>Tra le altre funzioni di controllo rientrano:</w:t>
      </w:r>
    </w:p>
    <w:p>
      <w:pPr>
        <w:ind w:left="0" w:right="-1"/>
        <w:jc w:val="both"/>
        <w:rPr>
          <w:sz w:val="32"/>
          <w:szCs w:val="32"/>
        </w:rPr>
      </w:pPr>
      <w:r>
        <w:rPr>
          <w:sz w:val="32"/>
          <w:szCs w:val="32"/>
        </w:rPr>
        <w:t>• l’</w:t>
      </w:r>
      <w:r>
        <w:rPr>
          <w:b w:val="1"/>
          <w:bCs w:val="1"/>
          <w:sz w:val="32"/>
          <w:szCs w:val="32"/>
        </w:rPr>
        <w:t xml:space="preserve">esame delle petizioni dei cittadini </w:t>
      </w:r>
      <w:r>
        <w:rPr>
          <w:sz w:val="32"/>
          <w:szCs w:val="32"/>
        </w:rPr>
        <w:t xml:space="preserve">e le eventuali indagini per assicurare che la condotta delle istituzioni europee sia conforme ai principi </w:t>
      </w:r>
      <w:r>
        <w:rPr>
          <w:sz w:val="32"/>
          <w:szCs w:val="32"/>
        </w:rPr>
        <w:t xml:space="preserve">della buona amministrazione; </w:t>
      </w:r>
    </w:p>
    <w:p>
      <w:pPr>
        <w:ind w:left="0" w:right="-1"/>
        <w:jc w:val="both"/>
        <w:rPr>
          <w:sz w:val="32"/>
          <w:szCs w:val="32"/>
        </w:rPr>
      </w:pPr>
      <w:r>
        <w:rPr>
          <w:sz w:val="32"/>
          <w:szCs w:val="32"/>
        </w:rPr>
        <w:t xml:space="preserve">• la </w:t>
      </w:r>
      <w:r>
        <w:rPr>
          <w:b w:val="1"/>
          <w:bCs w:val="1"/>
          <w:sz w:val="32"/>
          <w:szCs w:val="32"/>
        </w:rPr>
        <w:t>discussione della politica monetaria</w:t>
      </w:r>
      <w:r>
        <w:rPr>
          <w:sz w:val="32"/>
          <w:szCs w:val="32"/>
        </w:rPr>
        <w:t xml:space="preserve"> con la Banca centrale eu</w:t>
      </w:r>
      <w:r>
        <w:rPr>
          <w:rFonts w:ascii="Calibri" w:hAnsi="Calibri" w:cs="Calibri"/>
          <w:sz w:val="32"/>
          <w:szCs w:val="32"/>
        </w:rPr>
        <w:t>r</w:t>
      </w:r>
      <w:r>
        <w:rPr>
          <w:sz w:val="32"/>
          <w:szCs w:val="32"/>
        </w:rPr>
        <w:t xml:space="preserve">opea; </w:t>
      </w:r>
    </w:p>
    <w:p>
      <w:pPr>
        <w:ind w:left="0" w:right="-1"/>
        <w:jc w:val="both"/>
        <w:rPr>
          <w:sz w:val="32"/>
          <w:szCs w:val="32"/>
        </w:rPr>
      </w:pPr>
      <w:r>
        <w:rPr>
          <w:sz w:val="32"/>
          <w:szCs w:val="32"/>
        </w:rPr>
        <w:t xml:space="preserve">• le </w:t>
      </w:r>
      <w:r>
        <w:rPr>
          <w:b w:val="1"/>
          <w:bCs w:val="1"/>
          <w:sz w:val="32"/>
          <w:szCs w:val="32"/>
        </w:rPr>
        <w:t>interrogazioni</w:t>
      </w:r>
      <w:r>
        <w:rPr>
          <w:sz w:val="32"/>
          <w:szCs w:val="32"/>
        </w:rPr>
        <w:t xml:space="preserve"> alla Commissione e al Consiglio con le quali verifica periodicamente il lavoro svolto. </w:t>
      </w:r>
    </w:p>
    <w:p>
      <w:pPr>
        <w:ind w:left="0" w:right="-1"/>
        <w:jc w:val="both"/>
        <w:rPr>
          <w:sz w:val="32"/>
          <w:szCs w:val="32"/>
        </w:rPr>
      </w:pPr>
      <w:r>
        <w:rPr>
          <w:sz w:val="32"/>
          <w:szCs w:val="32"/>
        </w:rPr>
        <w:t xml:space="preserve">Il </w:t>
      </w:r>
      <w:r>
        <w:rPr>
          <w:b w:val="1"/>
          <w:bCs w:val="1"/>
          <w:sz w:val="32"/>
          <w:szCs w:val="32"/>
        </w:rPr>
        <w:t>controllo amministrativo</w:t>
      </w:r>
      <w:r>
        <w:rPr>
          <w:sz w:val="32"/>
          <w:szCs w:val="32"/>
        </w:rPr>
        <w:t xml:space="preserve"> del Parlamento si avvale del </w:t>
      </w:r>
      <w:r>
        <w:rPr>
          <w:b w:val="1"/>
          <w:bCs w:val="1"/>
          <w:sz w:val="32"/>
          <w:szCs w:val="32"/>
        </w:rPr>
        <w:t>Mediatore europeo</w:t>
      </w:r>
      <w:r>
        <w:rPr>
          <w:sz w:val="32"/>
          <w:szCs w:val="32"/>
        </w:rPr>
        <w:t>, un organo incaricato di indagare sui casi di cattiva amministrazione denunciati dai cittadini dell</w:t>
      </w:r>
      <w:r>
        <w:rPr>
          <w:rFonts w:ascii="Calibri" w:hAnsi="Calibri" w:cs="Calibri"/>
          <w:sz w:val="32"/>
          <w:szCs w:val="32"/>
        </w:rPr>
        <w:t>’</w:t>
      </w:r>
      <w:r>
        <w:rPr>
          <w:sz w:val="32"/>
          <w:szCs w:val="32"/>
        </w:rPr>
        <w:t>Unione europea (iniquit</w:t>
      </w:r>
      <w:r>
        <w:rPr>
          <w:rFonts w:ascii="Calibri" w:hAnsi="Calibri" w:cs="Calibri"/>
          <w:sz w:val="32"/>
          <w:szCs w:val="32"/>
        </w:rPr>
        <w:t>à</w:t>
      </w:r>
      <w:r>
        <w:rPr>
          <w:sz w:val="32"/>
          <w:szCs w:val="32"/>
        </w:rPr>
        <w:t xml:space="preserve">, discriminazioni, abuso di potere, omissione o rifiuto di informare, ritardi ingiustificati, irregolarità amministrative). Nei casi più gravi di cattiva amministrazione il Parlamento può anche istituire una commissione d’inchiesta, incaricata di raccogliere tutte le informazioni relative alle presunte irregolarità e poi di riferire all’assemblea. </w:t>
      </w:r>
    </w:p>
    <w:p>
      <w:pPr>
        <w:spacing w:before="0" w:beforeAutospacing="0" w:afterAutospacing="0"/>
        <w:ind w:left="0" w:right="-1"/>
        <w:jc w:val="both"/>
        <w:rPr>
          <w:sz w:val="32"/>
          <w:szCs w:val="32"/>
        </w:rPr>
      </w:pPr>
      <w:r>
        <w:rPr>
          <w:sz w:val="32"/>
          <w:szCs w:val="32"/>
        </w:rPr>
        <w:t xml:space="preserve">Infine, il Parlamento condivide con il Consiglio il </w:t>
      </w:r>
      <w:r>
        <w:rPr>
          <w:b w:val="1"/>
          <w:bCs w:val="1"/>
          <w:sz w:val="32"/>
          <w:szCs w:val="32"/>
        </w:rPr>
        <w:t>potere di bilancio</w:t>
      </w:r>
      <w:r>
        <w:rPr>
          <w:sz w:val="32"/>
          <w:szCs w:val="32"/>
        </w:rPr>
        <w:t>, in quanto i due organi adottano, di comune accordo, il bilancio dell’Unione.</w:t>
      </w:r>
    </w:p>
    <w:p>
      <w:pPr>
        <w:pStyle w:val="P2"/>
        <w:jc w:val="center"/>
      </w:pPr>
      <w:r>
        <w:t>IL CONSIGLIO DELL’UNIONE EUROPEA</w:t>
      </w:r>
    </w:p>
    <w:p>
      <w:pPr>
        <w:ind w:left="0" w:right="-1"/>
        <w:jc w:val="both"/>
        <w:rPr>
          <w:sz w:val="32"/>
          <w:szCs w:val="32"/>
        </w:rPr>
      </w:pPr>
      <w:r>
        <w:rPr>
          <w:sz w:val="32"/>
          <w:szCs w:val="32"/>
        </w:rPr>
        <w:t xml:space="preserve">Il </w:t>
      </w:r>
      <w:r>
        <w:rPr>
          <w:b w:val="1"/>
          <w:bCs w:val="1"/>
          <w:sz w:val="32"/>
          <w:szCs w:val="32"/>
        </w:rPr>
        <w:t>Consiglio dell’Unione europea</w:t>
      </w:r>
      <w:r>
        <w:rPr>
          <w:sz w:val="32"/>
          <w:szCs w:val="32"/>
        </w:rPr>
        <w:t xml:space="preserve"> (da non confondere con il Consiglio europeo) è l’istituzione che </w:t>
      </w:r>
      <w:r>
        <w:rPr>
          <w:b w:val="1"/>
          <w:bCs w:val="1"/>
          <w:sz w:val="32"/>
          <w:szCs w:val="32"/>
        </w:rPr>
        <w:t>rappresenta i singoli Stati membri</w:t>
      </w:r>
      <w:r>
        <w:rPr>
          <w:sz w:val="32"/>
          <w:szCs w:val="32"/>
        </w:rPr>
        <w:t xml:space="preserve">; alle sue riunioni, infatti, partecipano i </w:t>
      </w:r>
      <w:r>
        <w:rPr>
          <w:b w:val="1"/>
          <w:bCs w:val="1"/>
          <w:sz w:val="32"/>
          <w:szCs w:val="32"/>
        </w:rPr>
        <w:t>singoli ministri</w:t>
      </w:r>
      <w:r>
        <w:rPr>
          <w:sz w:val="32"/>
          <w:szCs w:val="32"/>
        </w:rPr>
        <w:t xml:space="preserve"> dei governi nazionali, a seconda delle materie in discussione. Esso può assumere dunque, sempre secondo le materie in discussioni, </w:t>
      </w:r>
      <w:r>
        <w:rPr>
          <w:b w:val="1"/>
          <w:bCs w:val="1"/>
          <w:sz w:val="32"/>
          <w:szCs w:val="32"/>
        </w:rPr>
        <w:t>dieci configurazioni</w:t>
      </w:r>
      <w:r>
        <w:rPr>
          <w:sz w:val="32"/>
          <w:szCs w:val="32"/>
        </w:rPr>
        <w:t xml:space="preserve"> diverse:</w:t>
      </w:r>
    </w:p>
    <w:p>
      <w:pPr>
        <w:ind w:left="0" w:right="-1"/>
        <w:jc w:val="both"/>
        <w:rPr>
          <w:sz w:val="32"/>
          <w:szCs w:val="32"/>
        </w:rPr>
      </w:pPr>
      <w:r>
        <w:rPr>
          <w:sz w:val="32"/>
          <w:szCs w:val="32"/>
        </w:rPr>
        <w:t xml:space="preserve">Affari esteri </w:t>
      </w:r>
      <w:r>
        <w:rPr>
          <w:rFonts w:ascii="Wingdings" w:hAnsi="Wingdings" w:cs="Wingdings" w:eastAsia="Wingdings"/>
          <w:sz w:val="32"/>
          <w:szCs w:val="32"/>
        </w:rPr>
        <w:t></w:t>
      </w:r>
      <w:r>
        <w:rPr>
          <w:sz w:val="32"/>
          <w:szCs w:val="32"/>
        </w:rPr>
        <w:t xml:space="preserve"> Economia e finanza</w:t>
      </w:r>
    </w:p>
    <w:p>
      <w:pPr>
        <w:ind w:left="0" w:right="-1"/>
        <w:jc w:val="both"/>
        <w:rPr>
          <w:sz w:val="32"/>
          <w:szCs w:val="32"/>
        </w:rPr>
      </w:pPr>
      <w:r>
        <w:rPr>
          <w:sz w:val="32"/>
          <w:szCs w:val="32"/>
        </w:rPr>
        <w:t xml:space="preserve">Affari generali </w:t>
      </w:r>
      <w:r>
        <w:rPr>
          <w:rFonts w:ascii="Wingdings" w:hAnsi="Wingdings" w:cs="Wingdings" w:eastAsia="Wingdings"/>
          <w:sz w:val="32"/>
          <w:szCs w:val="32"/>
        </w:rPr>
        <w:t></w:t>
      </w:r>
      <w:r>
        <w:rPr>
          <w:sz w:val="32"/>
          <w:szCs w:val="32"/>
        </w:rPr>
        <w:t xml:space="preserve"> Giustizia e Affari interni</w:t>
      </w:r>
    </w:p>
    <w:p>
      <w:pPr>
        <w:ind w:left="0" w:right="-1"/>
        <w:jc w:val="both"/>
        <w:rPr>
          <w:sz w:val="32"/>
          <w:szCs w:val="32"/>
        </w:rPr>
      </w:pPr>
      <w:r>
        <w:rPr>
          <w:sz w:val="32"/>
          <w:szCs w:val="32"/>
        </w:rPr>
        <w:t xml:space="preserve">Agricoltura e pesca </w:t>
      </w:r>
      <w:r>
        <w:rPr>
          <w:rFonts w:ascii="Wingdings" w:hAnsi="Wingdings" w:cs="Wingdings" w:eastAsia="Wingdings"/>
          <w:sz w:val="32"/>
          <w:szCs w:val="32"/>
        </w:rPr>
        <w:t></w:t>
      </w:r>
      <w:r>
        <w:rPr>
          <w:sz w:val="32"/>
          <w:szCs w:val="32"/>
        </w:rPr>
        <w:t xml:space="preserve"> Istruzione, gioventù, cultura e sport</w:t>
      </w:r>
    </w:p>
    <w:p>
      <w:pPr>
        <w:ind w:left="0" w:right="-1"/>
        <w:jc w:val="both"/>
        <w:rPr>
          <w:sz w:val="32"/>
          <w:szCs w:val="32"/>
        </w:rPr>
      </w:pPr>
      <w:r>
        <w:rPr>
          <w:sz w:val="32"/>
          <w:szCs w:val="32"/>
        </w:rPr>
        <w:t xml:space="preserve">Ambiente </w:t>
      </w:r>
      <w:r>
        <w:rPr>
          <w:rFonts w:ascii="Wingdings" w:hAnsi="Wingdings" w:cs="Wingdings" w:eastAsia="Wingdings"/>
          <w:sz w:val="32"/>
          <w:szCs w:val="32"/>
        </w:rPr>
        <w:t></w:t>
      </w:r>
      <w:r>
        <w:rPr>
          <w:sz w:val="32"/>
          <w:szCs w:val="32"/>
        </w:rPr>
        <w:t xml:space="preserve"> Occupazione, politica sociale, salute e consumatori</w:t>
      </w:r>
    </w:p>
    <w:p>
      <w:pPr>
        <w:ind w:left="0" w:right="-1"/>
        <w:jc w:val="both"/>
        <w:rPr>
          <w:sz w:val="32"/>
          <w:szCs w:val="32"/>
        </w:rPr>
      </w:pPr>
      <w:r>
        <w:rPr>
          <w:sz w:val="32"/>
          <w:szCs w:val="32"/>
        </w:rPr>
        <w:t xml:space="preserve">Competitività </w:t>
      </w:r>
      <w:r>
        <w:rPr>
          <w:rFonts w:ascii="Wingdings" w:hAnsi="Wingdings" w:cs="Wingdings" w:eastAsia="Wingdings"/>
          <w:sz w:val="32"/>
          <w:szCs w:val="32"/>
        </w:rPr>
        <w:t></w:t>
      </w:r>
      <w:r>
        <w:rPr>
          <w:sz w:val="32"/>
          <w:szCs w:val="32"/>
        </w:rPr>
        <w:t xml:space="preserve"> Trasporti, comunicazioni ed energia</w:t>
      </w:r>
    </w:p>
    <w:p>
      <w:pPr>
        <w:ind w:left="0" w:right="-1"/>
        <w:jc w:val="both"/>
        <w:rPr>
          <w:b w:val="1"/>
          <w:bCs w:val="1"/>
          <w:sz w:val="32"/>
          <w:szCs w:val="32"/>
        </w:rPr>
      </w:pPr>
      <w:r>
        <w:rPr>
          <w:b w:val="1"/>
          <w:bCs w:val="1"/>
          <w:sz w:val="32"/>
          <w:szCs w:val="32"/>
          <w:highlight w:val="yellow"/>
        </w:rPr>
        <w:t>LE FUNZIONI DEL CONSIGLIO DELL’UNIONE EUROPEA</w:t>
      </w:r>
    </w:p>
    <w:p>
      <w:pPr>
        <w:spacing w:before="0" w:beforeAutospacing="0" w:afterAutospacing="0"/>
        <w:ind w:left="0" w:right="-1"/>
        <w:jc w:val="both"/>
        <w:rPr>
          <w:sz w:val="32"/>
          <w:szCs w:val="32"/>
        </w:rPr>
      </w:pPr>
      <w:r>
        <w:rPr>
          <w:sz w:val="32"/>
          <w:szCs w:val="32"/>
        </w:rPr>
        <w:t xml:space="preserve">Le funzioni attribuite al Consiglio dell’Unione europea sono: </w:t>
      </w:r>
    </w:p>
    <w:p>
      <w:pPr>
        <w:spacing w:before="0" w:beforeAutospacing="0" w:afterAutospacing="0"/>
        <w:ind w:left="0" w:right="-1"/>
        <w:jc w:val="both"/>
        <w:rPr>
          <w:sz w:val="32"/>
          <w:szCs w:val="32"/>
        </w:rPr>
      </w:pPr>
      <w:r>
        <w:rPr>
          <w:sz w:val="32"/>
          <w:szCs w:val="32"/>
        </w:rPr>
        <w:t xml:space="preserve">• </w:t>
      </w:r>
      <w:r>
        <w:rPr>
          <w:b w:val="1"/>
          <w:bCs w:val="1"/>
          <w:sz w:val="32"/>
          <w:szCs w:val="32"/>
        </w:rPr>
        <w:t>discutere e adottare le leggi dell’UE</w:t>
      </w:r>
      <w:r>
        <w:rPr>
          <w:sz w:val="32"/>
          <w:szCs w:val="32"/>
        </w:rPr>
        <w:t xml:space="preserve"> assieme al Parlamento, basandosi sulle proposte della Commissione europea; </w:t>
      </w:r>
    </w:p>
    <w:p>
      <w:pPr>
        <w:spacing w:before="0" w:beforeAutospacing="0" w:afterAutospacing="0"/>
        <w:ind w:left="0" w:right="-1"/>
        <w:jc w:val="both"/>
        <w:rPr>
          <w:sz w:val="32"/>
          <w:szCs w:val="32"/>
        </w:rPr>
      </w:pPr>
      <w:r>
        <w:rPr>
          <w:sz w:val="32"/>
          <w:szCs w:val="32"/>
        </w:rPr>
        <w:t>•</w:t>
      </w:r>
      <w:r>
        <w:rPr>
          <w:b w:val="1"/>
          <w:bCs w:val="1"/>
          <w:sz w:val="32"/>
          <w:szCs w:val="32"/>
        </w:rPr>
        <w:t xml:space="preserve"> coordinare</w:t>
      </w:r>
      <w:r>
        <w:rPr>
          <w:sz w:val="32"/>
          <w:szCs w:val="32"/>
        </w:rPr>
        <w:t xml:space="preserve"> le politiche dei paesi dell’UE; </w:t>
      </w:r>
    </w:p>
    <w:p>
      <w:pPr>
        <w:spacing w:before="0" w:beforeAutospacing="0" w:afterAutospacing="0"/>
        <w:ind w:left="0" w:right="-1"/>
        <w:jc w:val="both"/>
        <w:rPr>
          <w:sz w:val="32"/>
          <w:szCs w:val="32"/>
        </w:rPr>
      </w:pPr>
      <w:r>
        <w:rPr>
          <w:sz w:val="32"/>
          <w:szCs w:val="32"/>
        </w:rPr>
        <w:t xml:space="preserve">• </w:t>
      </w:r>
      <w:r>
        <w:rPr>
          <w:b w:val="1"/>
          <w:bCs w:val="1"/>
          <w:sz w:val="32"/>
          <w:szCs w:val="32"/>
        </w:rPr>
        <w:t>elaborare</w:t>
      </w:r>
      <w:r>
        <w:rPr>
          <w:sz w:val="32"/>
          <w:szCs w:val="32"/>
        </w:rPr>
        <w:t xml:space="preserve"> </w:t>
      </w:r>
      <w:r>
        <w:rPr>
          <w:b w:val="1"/>
          <w:bCs w:val="1"/>
          <w:sz w:val="32"/>
          <w:szCs w:val="32"/>
        </w:rPr>
        <w:t>la politica estera e di sicurezza comune</w:t>
      </w:r>
      <w:r>
        <w:rPr>
          <w:sz w:val="32"/>
          <w:szCs w:val="32"/>
        </w:rPr>
        <w:t xml:space="preserve"> dell’UE; </w:t>
      </w:r>
    </w:p>
    <w:p>
      <w:pPr>
        <w:spacing w:before="0" w:beforeAutospacing="0" w:afterAutospacing="0"/>
        <w:ind w:left="0" w:right="-1"/>
        <w:jc w:val="both"/>
        <w:rPr>
          <w:sz w:val="32"/>
          <w:szCs w:val="32"/>
        </w:rPr>
      </w:pPr>
      <w:r>
        <w:rPr>
          <w:sz w:val="32"/>
          <w:szCs w:val="32"/>
        </w:rPr>
        <w:t xml:space="preserve">• </w:t>
      </w:r>
      <w:r>
        <w:rPr>
          <w:b w:val="1"/>
          <w:bCs w:val="1"/>
          <w:sz w:val="32"/>
          <w:szCs w:val="32"/>
        </w:rPr>
        <w:t>firmare accordi</w:t>
      </w:r>
      <w:r>
        <w:rPr>
          <w:sz w:val="32"/>
          <w:szCs w:val="32"/>
        </w:rPr>
        <w:t xml:space="preserve"> tra l’UE e altri paesi o organizzazioni internazionali; </w:t>
      </w:r>
    </w:p>
    <w:p>
      <w:pPr>
        <w:spacing w:before="0" w:beforeAutospacing="0" w:afterAutospacing="0"/>
        <w:ind w:left="0" w:right="-1"/>
        <w:jc w:val="both"/>
        <w:rPr>
          <w:sz w:val="32"/>
          <w:szCs w:val="32"/>
        </w:rPr>
      </w:pPr>
      <w:r>
        <w:rPr>
          <w:sz w:val="32"/>
          <w:szCs w:val="32"/>
        </w:rPr>
        <w:t xml:space="preserve">• </w:t>
      </w:r>
      <w:r>
        <w:rPr>
          <w:b w:val="1"/>
          <w:bCs w:val="1"/>
          <w:sz w:val="32"/>
          <w:szCs w:val="32"/>
        </w:rPr>
        <w:t>approvare il bilancio annuale</w:t>
      </w:r>
      <w:r>
        <w:rPr>
          <w:sz w:val="32"/>
          <w:szCs w:val="32"/>
        </w:rPr>
        <w:t xml:space="preserve"> dell’UE insieme al Parlamento europeo.</w:t>
      </w:r>
    </w:p>
    <w:p>
      <w:pPr>
        <w:spacing w:before="0" w:beforeAutospacing="0" w:afterAutospacing="0"/>
        <w:ind w:left="0" w:right="-1"/>
        <w:jc w:val="both"/>
        <w:rPr>
          <w:sz w:val="32"/>
          <w:szCs w:val="32"/>
        </w:rPr>
      </w:pPr>
      <w:r>
        <w:rPr>
          <w:sz w:val="32"/>
          <w:szCs w:val="32"/>
        </w:rPr>
        <w:t xml:space="preserve">Il Consiglio dell’Unione affronta le questioni che gli vengono sottoposte dal </w:t>
      </w:r>
      <w:r>
        <w:rPr>
          <w:b w:val="1"/>
          <w:bCs w:val="1"/>
          <w:sz w:val="32"/>
          <w:szCs w:val="32"/>
        </w:rPr>
        <w:t>Consiglio Affari generali</w:t>
      </w:r>
      <w:r>
        <w:rPr>
          <w:sz w:val="32"/>
          <w:szCs w:val="32"/>
        </w:rPr>
        <w:t xml:space="preserve">, affiancato dal </w:t>
      </w:r>
      <w:r>
        <w:rPr>
          <w:b w:val="1"/>
          <w:bCs w:val="1"/>
          <w:sz w:val="32"/>
          <w:szCs w:val="32"/>
        </w:rPr>
        <w:t>Comitato dei rappresentanti permanenti (Coreper)</w:t>
      </w:r>
      <w:r>
        <w:rPr>
          <w:sz w:val="32"/>
          <w:szCs w:val="32"/>
        </w:rPr>
        <w:t>, formato dai rappresentanti degli Stati membri presso l</w:t>
      </w:r>
      <w:r>
        <w:rPr>
          <w:rFonts w:ascii="Calibri" w:hAnsi="Calibri" w:cs="Calibri"/>
          <w:sz w:val="32"/>
          <w:szCs w:val="32"/>
        </w:rPr>
        <w:t>’</w:t>
      </w:r>
      <w:r>
        <w:rPr>
          <w:sz w:val="32"/>
          <w:szCs w:val="32"/>
        </w:rPr>
        <w:t>Unione europea. Ogni Stato membro ha infatti una propria rappresentanza presso l’Unione europea, che difende gli interessi nazionali a livello europeo. Il capo della rappresentanza è l’</w:t>
      </w:r>
      <w:r>
        <w:rPr>
          <w:b w:val="1"/>
          <w:bCs w:val="1"/>
          <w:sz w:val="32"/>
          <w:szCs w:val="32"/>
        </w:rPr>
        <w:t>ambasciatore</w:t>
      </w:r>
      <w:r>
        <w:rPr>
          <w:sz w:val="32"/>
          <w:szCs w:val="32"/>
        </w:rPr>
        <w:t xml:space="preserve"> di quello Stato presso l</w:t>
      </w:r>
      <w:r>
        <w:rPr>
          <w:rFonts w:ascii="Calibri" w:hAnsi="Calibri" w:cs="Calibri"/>
          <w:sz w:val="32"/>
          <w:szCs w:val="32"/>
        </w:rPr>
        <w:t>’</w:t>
      </w:r>
      <w:r>
        <w:rPr>
          <w:sz w:val="32"/>
          <w:szCs w:val="32"/>
        </w:rPr>
        <w:t xml:space="preserve">Unione (rappresentante permanente), che ogni settimana partecipa alle riunioni del Coreper. </w:t>
      </w:r>
    </w:p>
    <w:p>
      <w:pPr>
        <w:spacing w:before="0" w:beforeAutospacing="0" w:afterAutospacing="0"/>
        <w:ind w:left="0" w:right="-1"/>
        <w:jc w:val="both"/>
        <w:rPr>
          <w:sz w:val="32"/>
          <w:szCs w:val="32"/>
        </w:rPr>
      </w:pPr>
      <w:r>
        <w:rPr>
          <w:sz w:val="32"/>
          <w:szCs w:val="32"/>
        </w:rPr>
        <w:t xml:space="preserve">La </w:t>
      </w:r>
      <w:r>
        <w:rPr>
          <w:b w:val="1"/>
          <w:bCs w:val="1"/>
          <w:sz w:val="32"/>
          <w:szCs w:val="32"/>
        </w:rPr>
        <w:t>Presidenza del Consiglio dell’Unione</w:t>
      </w:r>
      <w:r>
        <w:rPr>
          <w:sz w:val="32"/>
          <w:szCs w:val="32"/>
        </w:rPr>
        <w:t xml:space="preserve">, qualsiasi sia la configurazione nella quale si riunisce, </w:t>
      </w:r>
      <w:r>
        <w:rPr>
          <w:rFonts w:ascii="Calibri" w:hAnsi="Calibri" w:cs="Calibri"/>
          <w:sz w:val="32"/>
          <w:szCs w:val="32"/>
        </w:rPr>
        <w:t>è</w:t>
      </w:r>
      <w:r>
        <w:rPr>
          <w:sz w:val="32"/>
          <w:szCs w:val="32"/>
        </w:rPr>
        <w:t xml:space="preserve"> esercitata dal ministro competente del paese che in quel momento esercita la presidenza di turno dell’UE.</w:t>
      </w:r>
    </w:p>
    <w:p>
      <w:pPr>
        <w:spacing w:before="0" w:beforeAutospacing="0" w:afterAutospacing="0"/>
        <w:ind w:left="0" w:right="-1"/>
        <w:jc w:val="both"/>
        <w:rPr>
          <w:sz w:val="32"/>
          <w:szCs w:val="32"/>
        </w:rPr>
      </w:pPr>
      <w:r>
        <w:rPr>
          <w:sz w:val="32"/>
          <w:szCs w:val="32"/>
        </w:rPr>
        <w:t xml:space="preserve">ESEMPIO: Se il Consiglio si riunisce nel momento in cui l’Italia esercita la presidenza, il Consiglio </w:t>
      </w:r>
      <w:r>
        <w:rPr>
          <w:rFonts w:ascii="Calibri" w:hAnsi="Calibri" w:cs="Calibri"/>
          <w:sz w:val="32"/>
          <w:szCs w:val="32"/>
        </w:rPr>
        <w:t>«</w:t>
      </w:r>
      <w:r>
        <w:rPr>
          <w:sz w:val="32"/>
          <w:szCs w:val="32"/>
        </w:rPr>
        <w:t>Ambiente</w:t>
      </w:r>
      <w:r>
        <w:rPr>
          <w:rFonts w:ascii="Calibri" w:hAnsi="Calibri" w:cs="Calibri"/>
          <w:sz w:val="32"/>
          <w:szCs w:val="32"/>
        </w:rPr>
        <w:t>»</w:t>
      </w:r>
      <w:r>
        <w:rPr>
          <w:sz w:val="32"/>
          <w:szCs w:val="32"/>
        </w:rPr>
        <w:t xml:space="preserve"> sar</w:t>
      </w:r>
      <w:r>
        <w:rPr>
          <w:rFonts w:ascii="Calibri" w:hAnsi="Calibri" w:cs="Calibri"/>
          <w:sz w:val="32"/>
          <w:szCs w:val="32"/>
        </w:rPr>
        <w:t>à</w:t>
      </w:r>
      <w:r>
        <w:rPr>
          <w:sz w:val="32"/>
          <w:szCs w:val="32"/>
        </w:rPr>
        <w:t xml:space="preserve"> presieduto dal ministro dell</w:t>
      </w:r>
      <w:r>
        <w:rPr>
          <w:rFonts w:ascii="Calibri" w:hAnsi="Calibri" w:cs="Calibri"/>
          <w:sz w:val="32"/>
          <w:szCs w:val="32"/>
        </w:rPr>
        <w:t>’</w:t>
      </w:r>
      <w:r>
        <w:rPr>
          <w:sz w:val="32"/>
          <w:szCs w:val="32"/>
        </w:rPr>
        <w:t>Ambiente italiano.</w:t>
      </w:r>
    </w:p>
    <w:p>
      <w:pPr>
        <w:pStyle w:val="P2"/>
        <w:jc w:val="center"/>
      </w:pPr>
      <w:r>
        <w:t>IL CONSIGLIO EUROPEO</w:t>
      </w:r>
    </w:p>
    <w:p>
      <w:pPr>
        <w:ind w:left="0" w:right="-1"/>
        <w:jc w:val="both"/>
        <w:rPr>
          <w:sz w:val="32"/>
          <w:szCs w:val="32"/>
        </w:rPr>
      </w:pPr>
      <w:r>
        <w:rPr>
          <w:sz w:val="32"/>
          <w:szCs w:val="32"/>
        </w:rPr>
        <w:t xml:space="preserve">Il </w:t>
      </w:r>
      <w:r>
        <w:rPr>
          <w:b w:val="1"/>
          <w:bCs w:val="1"/>
          <w:sz w:val="32"/>
          <w:szCs w:val="32"/>
        </w:rPr>
        <w:t xml:space="preserve">Consiglio europeo </w:t>
      </w:r>
      <w:r>
        <w:rPr>
          <w:sz w:val="32"/>
          <w:szCs w:val="32"/>
        </w:rPr>
        <w:t xml:space="preserve">è l’organo che </w:t>
      </w:r>
      <w:r>
        <w:rPr>
          <w:b w:val="1"/>
          <w:bCs w:val="1"/>
          <w:sz w:val="32"/>
          <w:szCs w:val="32"/>
        </w:rPr>
        <w:t>definisce l’orientamento politico generale</w:t>
      </w:r>
      <w:r>
        <w:rPr>
          <w:sz w:val="32"/>
          <w:szCs w:val="32"/>
        </w:rPr>
        <w:t xml:space="preserve"> </w:t>
      </w:r>
      <w:r>
        <w:rPr>
          <w:b w:val="1"/>
          <w:bCs w:val="1"/>
          <w:sz w:val="32"/>
          <w:szCs w:val="32"/>
        </w:rPr>
        <w:t>e le priorit</w:t>
      </w:r>
      <w:r>
        <w:rPr>
          <w:rFonts w:ascii="Calibri" w:hAnsi="Calibri" w:cs="Calibri"/>
          <w:b w:val="1"/>
          <w:bCs w:val="1"/>
          <w:sz w:val="32"/>
          <w:szCs w:val="32"/>
        </w:rPr>
        <w:t>à</w:t>
      </w:r>
      <w:r>
        <w:rPr>
          <w:b w:val="1"/>
          <w:bCs w:val="1"/>
          <w:sz w:val="32"/>
          <w:szCs w:val="32"/>
        </w:rPr>
        <w:t xml:space="preserve"> dell</w:t>
      </w:r>
      <w:r>
        <w:rPr>
          <w:rFonts w:ascii="Calibri" w:hAnsi="Calibri" w:cs="Calibri"/>
          <w:b w:val="1"/>
          <w:bCs w:val="1"/>
          <w:sz w:val="32"/>
          <w:szCs w:val="32"/>
        </w:rPr>
        <w:t>’</w:t>
      </w:r>
      <w:r>
        <w:rPr>
          <w:b w:val="1"/>
          <w:bCs w:val="1"/>
          <w:sz w:val="32"/>
          <w:szCs w:val="32"/>
        </w:rPr>
        <w:t>Unione europea.</w:t>
      </w:r>
      <w:r>
        <w:rPr>
          <w:sz w:val="32"/>
          <w:szCs w:val="32"/>
        </w:rPr>
        <w:t xml:space="preserve"> Esso inoltre:</w:t>
      </w:r>
    </w:p>
    <w:p>
      <w:pPr>
        <w:ind w:left="0" w:right="-1"/>
        <w:jc w:val="both"/>
        <w:rPr>
          <w:sz w:val="32"/>
          <w:szCs w:val="32"/>
        </w:rPr>
      </w:pPr>
      <w:r>
        <w:rPr>
          <w:sz w:val="32"/>
          <w:szCs w:val="32"/>
        </w:rPr>
        <w:t xml:space="preserve">• definisce la politica estera e di sicurezza comune, tenendo conto degli </w:t>
      </w:r>
    </w:p>
    <w:p>
      <w:pPr>
        <w:ind w:left="0" w:right="-1"/>
        <w:jc w:val="both"/>
        <w:rPr>
          <w:sz w:val="32"/>
          <w:szCs w:val="32"/>
        </w:rPr>
      </w:pPr>
      <w:r>
        <w:rPr>
          <w:sz w:val="32"/>
          <w:szCs w:val="32"/>
        </w:rPr>
        <w:t xml:space="preserve">interessi strategici dell’Unione e delle implicazioni per la difesa; </w:t>
      </w:r>
    </w:p>
    <w:p>
      <w:pPr>
        <w:ind w:left="0" w:right="-1"/>
        <w:jc w:val="both"/>
        <w:rPr>
          <w:sz w:val="32"/>
          <w:szCs w:val="32"/>
        </w:rPr>
      </w:pPr>
      <w:r>
        <w:rPr>
          <w:sz w:val="32"/>
          <w:szCs w:val="32"/>
        </w:rPr>
        <w:t>• nomina ed elegge i candidati a determinati ruoli di alto profilo, fra cui la Banca centrale europea e la Commissione.</w:t>
      </w:r>
    </w:p>
    <w:p>
      <w:pPr>
        <w:ind w:left="0" w:right="-1"/>
        <w:jc w:val="both"/>
        <w:rPr>
          <w:sz w:val="32"/>
          <w:szCs w:val="32"/>
        </w:rPr>
      </w:pPr>
      <w:r>
        <w:rPr>
          <w:b w:val="1"/>
          <w:bCs w:val="1"/>
          <w:sz w:val="32"/>
          <w:szCs w:val="32"/>
          <w:highlight w:val="yellow"/>
        </w:rPr>
        <w:t>LA COMPOSIZIONE DEL CONSIGLIO EUROPEO</w:t>
      </w:r>
      <w:r>
        <w:rPr>
          <w:sz w:val="32"/>
          <w:szCs w:val="32"/>
        </w:rPr>
        <w:t xml:space="preserve"> </w:t>
      </w:r>
    </w:p>
    <w:p>
      <w:pPr>
        <w:spacing w:before="0" w:beforeAutospacing="0" w:afterAutospacing="0"/>
        <w:ind w:left="0" w:right="-1"/>
        <w:jc w:val="both"/>
        <w:rPr>
          <w:sz w:val="32"/>
          <w:szCs w:val="32"/>
        </w:rPr>
      </w:pPr>
      <w:r>
        <w:rPr>
          <w:sz w:val="32"/>
          <w:szCs w:val="32"/>
        </w:rPr>
        <w:t xml:space="preserve">Il Consiglio europeo è composto </w:t>
      </w:r>
      <w:r>
        <w:rPr>
          <w:b w:val="1"/>
          <w:bCs w:val="1"/>
          <w:sz w:val="32"/>
          <w:szCs w:val="32"/>
        </w:rPr>
        <w:t>dai capi di Stato o di governo dei Paesi membri</w:t>
      </w:r>
      <w:r>
        <w:rPr>
          <w:sz w:val="32"/>
          <w:szCs w:val="32"/>
        </w:rPr>
        <w:t>, dal Presidente della Commissione europea, dall’</w:t>
      </w:r>
      <w:r>
        <w:rPr>
          <w:b w:val="1"/>
          <w:bCs w:val="1"/>
          <w:sz w:val="32"/>
          <w:szCs w:val="32"/>
        </w:rPr>
        <w:t>Alto rappresentante per gli affari esteri e la politica di sicurezza comune</w:t>
      </w:r>
      <w:r>
        <w:rPr>
          <w:sz w:val="32"/>
          <w:szCs w:val="32"/>
        </w:rPr>
        <w:t xml:space="preserve">. L’ Alto rappresentante per gli affari esteri è una figura introdotta dal Trattato di Lisbona, è un organo nominato dal Consiglio europeo con l’approvazione del Presidente della Commissione. Il Consiglio europeo </w:t>
      </w:r>
      <w:r>
        <w:rPr>
          <w:b w:val="1"/>
          <w:bCs w:val="1"/>
          <w:sz w:val="32"/>
          <w:szCs w:val="32"/>
        </w:rPr>
        <w:t>definisce gli orientamenti generali</w:t>
      </w:r>
      <w:r>
        <w:rPr>
          <w:sz w:val="32"/>
          <w:szCs w:val="32"/>
        </w:rPr>
        <w:t xml:space="preserve"> della politica estera e di sicurezza comune (PESC), la politica di difesa comune (PESD) e rappresenta l’Unione nei rapporti con i Paesi terzi, nelle organizzazioni e nelle conferenze internazionali. Infine, ciascun membro pu</w:t>
      </w:r>
      <w:r>
        <w:rPr>
          <w:rFonts w:ascii="Calibri" w:hAnsi="Calibri" w:cs="Calibri"/>
          <w:sz w:val="32"/>
          <w:szCs w:val="32"/>
        </w:rPr>
        <w:t>ò</w:t>
      </w:r>
      <w:r>
        <w:rPr>
          <w:sz w:val="32"/>
          <w:szCs w:val="32"/>
        </w:rPr>
        <w:t xml:space="preserve"> essere assistito da un ministro del proprio governo nazionale, scelto di volta in volta in base alle questioni poste all’ordine del giorno.</w:t>
      </w:r>
    </w:p>
    <w:p>
      <w:pPr>
        <w:spacing w:before="0" w:beforeAutospacing="0" w:afterAutospacing="0"/>
        <w:ind w:left="0" w:right="-1"/>
        <w:jc w:val="both"/>
        <w:rPr>
          <w:sz w:val="32"/>
          <w:szCs w:val="32"/>
        </w:rPr>
      </w:pPr>
      <w:r>
        <w:rPr>
          <w:sz w:val="32"/>
          <w:szCs w:val="32"/>
        </w:rPr>
        <w:t>ESEMPIO: Se il Consiglio è chiamato a decidere sulle politiche comuni da adottare in tema di promozione della cultura e dell</w:t>
      </w:r>
      <w:r>
        <w:rPr>
          <w:rFonts w:ascii="Calibri" w:hAnsi="Calibri" w:cs="Calibri"/>
          <w:sz w:val="32"/>
          <w:szCs w:val="32"/>
        </w:rPr>
        <w:t>’</w:t>
      </w:r>
      <w:r>
        <w:rPr>
          <w:sz w:val="32"/>
          <w:szCs w:val="32"/>
        </w:rPr>
        <w:t>istruzione, i capi di Stato e di governo chiederanno ai propri ministri della cultura e dell’istruzione di partecipare alla seduta.</w:t>
      </w:r>
    </w:p>
    <w:p>
      <w:pPr>
        <w:ind w:left="0" w:right="-1"/>
        <w:jc w:val="both"/>
        <w:rPr>
          <w:sz w:val="32"/>
          <w:szCs w:val="32"/>
        </w:rPr>
      </w:pPr>
      <w:r>
        <w:rPr>
          <w:sz w:val="32"/>
          <w:szCs w:val="32"/>
        </w:rPr>
        <w:t xml:space="preserve">Un’importante figura introdotta dal Trattato di Lisbona è quella del </w:t>
      </w:r>
      <w:r>
        <w:rPr>
          <w:b w:val="1"/>
          <w:bCs w:val="1"/>
          <w:sz w:val="32"/>
          <w:szCs w:val="32"/>
        </w:rPr>
        <w:t>Presidente del Consiglio europeo</w:t>
      </w:r>
      <w:r>
        <w:rPr>
          <w:sz w:val="32"/>
          <w:szCs w:val="32"/>
        </w:rPr>
        <w:t>. Il Presidente viene eletto per due anni e mezzo, e il suo mandato è rinnovabile una volta sola. Egli ha il compito di presiedere i lavori del Consiglio e di lavorare per facilitare la coesione e il consenso tra i vari membri.</w:t>
      </w:r>
    </w:p>
    <w:p>
      <w:pPr>
        <w:ind w:left="0"/>
      </w:pPr>
    </w:p>
    <w:p>
      <w:pPr>
        <w:tabs>
          <w:tab w:val="left" w:pos="7937" w:leader="none"/>
        </w:tabs>
        <w:ind w:left="0"/>
        <w:jc w:val="both"/>
      </w:pPr>
    </w:p>
    <w:p>
      <w:pPr>
        <w:tabs>
          <w:tab w:val="left" w:pos="7937" w:leader="none"/>
        </w:tabs>
        <w:ind w:left="0"/>
        <w:jc w:val="both"/>
      </w:pPr>
    </w:p>
    <w:p>
      <w:pPr>
        <w:tabs>
          <w:tab w:val="left" w:pos="7937" w:leader="none"/>
        </w:tabs>
        <w:ind w:left="0"/>
        <w:jc w:val="both"/>
      </w:pPr>
    </w:p>
    <w:p>
      <w:pPr>
        <w:tabs>
          <w:tab w:val="left" w:pos="7937" w:leader="none"/>
        </w:tabs>
        <w:ind w:left="0"/>
        <w:jc w:val="both"/>
      </w:pPr>
    </w:p>
    <w:p>
      <w:pPr>
        <w:tabs>
          <w:tab w:val="left" w:pos="7937" w:leader="none"/>
        </w:tabs>
        <w:ind w:left="0"/>
        <w:jc w:val="both"/>
      </w:pPr>
    </w:p>
    <w:p>
      <w:pPr>
        <w:pStyle w:val="P2"/>
        <w:jc w:val="center"/>
      </w:pPr>
      <w:r>
        <w:t>LA COMMISSIONE EUROPEA</w:t>
      </w:r>
    </w:p>
    <w:p>
      <w:pPr>
        <w:ind w:left="0" w:right="-1"/>
        <w:jc w:val="both"/>
        <w:rPr>
          <w:sz w:val="32"/>
          <w:szCs w:val="32"/>
        </w:rPr>
      </w:pPr>
      <w:r>
        <w:rPr>
          <w:sz w:val="32"/>
          <w:szCs w:val="32"/>
        </w:rPr>
        <w:t xml:space="preserve">La </w:t>
      </w:r>
      <w:r>
        <w:rPr>
          <w:b w:val="1"/>
          <w:bCs w:val="1"/>
          <w:sz w:val="32"/>
          <w:szCs w:val="32"/>
        </w:rPr>
        <w:t>Commissione europea</w:t>
      </w:r>
      <w:r>
        <w:rPr>
          <w:sz w:val="32"/>
          <w:szCs w:val="32"/>
        </w:rPr>
        <w:t xml:space="preserve"> è l’istituzione dell’Unione che somiglia di più a un governo nazionale. Spetta infatti alla Commissione il </w:t>
      </w:r>
      <w:r>
        <w:rPr>
          <w:b w:val="1"/>
          <w:bCs w:val="1"/>
          <w:sz w:val="32"/>
          <w:szCs w:val="32"/>
        </w:rPr>
        <w:t>compito</w:t>
      </w:r>
      <w:r>
        <w:rPr>
          <w:sz w:val="32"/>
          <w:szCs w:val="32"/>
        </w:rPr>
        <w:t xml:space="preserve"> di: </w:t>
      </w:r>
    </w:p>
    <w:p>
      <w:pPr>
        <w:ind w:left="0" w:right="-1"/>
        <w:jc w:val="both"/>
        <w:rPr>
          <w:sz w:val="32"/>
          <w:szCs w:val="32"/>
        </w:rPr>
      </w:pPr>
      <w:r>
        <w:rPr>
          <w:sz w:val="32"/>
          <w:szCs w:val="32"/>
        </w:rPr>
        <w:t xml:space="preserve">• proporre le norme europee; </w:t>
      </w:r>
    </w:p>
    <w:p>
      <w:pPr>
        <w:ind w:left="0" w:right="-1"/>
        <w:jc w:val="both"/>
        <w:rPr>
          <w:sz w:val="32"/>
          <w:szCs w:val="32"/>
        </w:rPr>
      </w:pPr>
      <w:r>
        <w:rPr>
          <w:sz w:val="32"/>
          <w:szCs w:val="32"/>
        </w:rPr>
        <w:t xml:space="preserve">• portare avanti le politiche comuni; </w:t>
      </w:r>
    </w:p>
    <w:p>
      <w:pPr>
        <w:ind w:left="0" w:right="-1"/>
        <w:jc w:val="both"/>
        <w:rPr>
          <w:sz w:val="32"/>
          <w:szCs w:val="32"/>
        </w:rPr>
      </w:pPr>
      <w:r>
        <w:rPr>
          <w:sz w:val="32"/>
          <w:szCs w:val="32"/>
        </w:rPr>
        <w:t xml:space="preserve">• dare attuazione alle decisioni del Parlamento e del Consiglio; </w:t>
      </w:r>
    </w:p>
    <w:p>
      <w:pPr>
        <w:ind w:left="0" w:right="-1"/>
        <w:jc w:val="both"/>
        <w:rPr>
          <w:sz w:val="32"/>
          <w:szCs w:val="32"/>
        </w:rPr>
      </w:pPr>
      <w:r>
        <w:rPr>
          <w:sz w:val="32"/>
          <w:szCs w:val="32"/>
        </w:rPr>
        <w:t xml:space="preserve">• rappresentare l’Unione nelle relazioni internazionali con altri Stati e altre organizzazioni internazionali. </w:t>
      </w:r>
    </w:p>
    <w:p>
      <w:pPr>
        <w:ind w:left="0" w:right="-1"/>
        <w:rPr>
          <w:b w:val="1"/>
          <w:bCs w:val="1"/>
          <w:sz w:val="32"/>
          <w:szCs w:val="32"/>
        </w:rPr>
      </w:pPr>
      <w:r>
        <w:rPr>
          <w:b w:val="1"/>
          <w:bCs w:val="1"/>
          <w:sz w:val="32"/>
          <w:szCs w:val="32"/>
          <w:highlight w:val="yellow"/>
        </w:rPr>
        <w:t>LA COMPOSIZIONE DELLA COMMISSIONE EUROPEA</w:t>
      </w:r>
    </w:p>
    <w:p>
      <w:pPr>
        <w:spacing w:before="0" w:beforeAutospacing="0" w:afterAutospacing="0"/>
        <w:ind w:left="0" w:right="-1"/>
        <w:jc w:val="both"/>
        <w:rPr>
          <w:sz w:val="32"/>
          <w:szCs w:val="32"/>
        </w:rPr>
      </w:pPr>
      <w:r>
        <w:rPr>
          <w:sz w:val="32"/>
          <w:szCs w:val="32"/>
        </w:rPr>
        <w:t xml:space="preserve">La Commissione è composta da </w:t>
      </w:r>
      <w:r>
        <w:rPr>
          <w:b w:val="1"/>
          <w:bCs w:val="1"/>
          <w:sz w:val="32"/>
          <w:szCs w:val="32"/>
        </w:rPr>
        <w:t xml:space="preserve">un rappresentante per ciascuno Stato membro </w:t>
      </w:r>
      <w:r>
        <w:rPr>
          <w:sz w:val="32"/>
          <w:szCs w:val="32"/>
        </w:rPr>
        <w:t xml:space="preserve">ed è presieduta da un </w:t>
      </w:r>
      <w:r>
        <w:rPr>
          <w:b w:val="1"/>
          <w:bCs w:val="1"/>
          <w:sz w:val="32"/>
          <w:szCs w:val="32"/>
        </w:rPr>
        <w:t>Presidente</w:t>
      </w:r>
      <w:r>
        <w:rPr>
          <w:sz w:val="32"/>
          <w:szCs w:val="32"/>
        </w:rPr>
        <w:t xml:space="preserve">. Il mandato dei </w:t>
      </w:r>
      <w:r>
        <w:rPr>
          <w:b w:val="1"/>
          <w:bCs w:val="1"/>
          <w:sz w:val="32"/>
          <w:szCs w:val="32"/>
        </w:rPr>
        <w:t>commissari</w:t>
      </w:r>
      <w:r>
        <w:rPr>
          <w:sz w:val="32"/>
          <w:szCs w:val="32"/>
        </w:rPr>
        <w:t xml:space="preserve"> dura cinque anni ed </w:t>
      </w:r>
      <w:r>
        <w:rPr>
          <w:rFonts w:ascii="Calibri" w:hAnsi="Calibri" w:cs="Calibri"/>
          <w:sz w:val="32"/>
          <w:szCs w:val="32"/>
        </w:rPr>
        <w:t>è</w:t>
      </w:r>
      <w:r>
        <w:rPr>
          <w:sz w:val="32"/>
          <w:szCs w:val="32"/>
        </w:rPr>
        <w:t xml:space="preserve"> rinnovabile. </w:t>
      </w:r>
    </w:p>
    <w:p>
      <w:pPr>
        <w:ind w:left="0" w:right="-1"/>
        <w:jc w:val="both"/>
        <w:rPr>
          <w:sz w:val="32"/>
          <w:szCs w:val="32"/>
        </w:rPr>
      </w:pPr>
      <w:r>
        <w:rPr>
          <w:sz w:val="32"/>
          <w:szCs w:val="32"/>
        </w:rPr>
        <w:t xml:space="preserve">La nomina dei membri della Commissione avviene attraverso una procedura che si articola in varie fasi: </w:t>
      </w:r>
    </w:p>
    <w:p>
      <w:pPr>
        <w:ind w:left="0" w:right="-1"/>
        <w:jc w:val="both"/>
        <w:rPr>
          <w:sz w:val="32"/>
          <w:szCs w:val="32"/>
        </w:rPr>
      </w:pPr>
      <w:r>
        <w:rPr>
          <w:sz w:val="32"/>
          <w:szCs w:val="32"/>
        </w:rPr>
        <w:t xml:space="preserve">• i governi degli Stati membri designano la persona che intendono nominare Presidente della Commissione; </w:t>
      </w:r>
    </w:p>
    <w:p>
      <w:pPr>
        <w:ind w:left="0" w:right="-1"/>
        <w:jc w:val="both"/>
        <w:rPr>
          <w:sz w:val="32"/>
          <w:szCs w:val="32"/>
        </w:rPr>
      </w:pPr>
      <w:r>
        <w:rPr>
          <w:sz w:val="32"/>
          <w:szCs w:val="32"/>
        </w:rPr>
        <w:t xml:space="preserve">• la nomina è approvata dal Parlamento europeo; </w:t>
      </w:r>
    </w:p>
    <w:p>
      <w:pPr>
        <w:ind w:left="0" w:right="-1"/>
        <w:jc w:val="both"/>
        <w:rPr>
          <w:sz w:val="32"/>
          <w:szCs w:val="32"/>
        </w:rPr>
      </w:pPr>
      <w:r>
        <w:rPr>
          <w:sz w:val="32"/>
          <w:szCs w:val="32"/>
        </w:rPr>
        <w:t xml:space="preserve">• i governi procedono alla designazione degli altri membri della Commissione di comune accordo con il Presidente designato; </w:t>
      </w:r>
    </w:p>
    <w:p>
      <w:pPr>
        <w:ind w:left="0" w:right="-1"/>
        <w:jc w:val="both"/>
        <w:rPr>
          <w:sz w:val="32"/>
          <w:szCs w:val="32"/>
        </w:rPr>
      </w:pPr>
      <w:r>
        <w:rPr>
          <w:sz w:val="32"/>
          <w:szCs w:val="32"/>
        </w:rPr>
        <w:t xml:space="preserve">• il Parlamento europeo esprime un voto di approvazione sul collegio così </w:t>
      </w:r>
    </w:p>
    <w:p>
      <w:pPr>
        <w:ind w:left="0" w:right="-1"/>
        <w:jc w:val="both"/>
        <w:rPr>
          <w:sz w:val="32"/>
          <w:szCs w:val="32"/>
        </w:rPr>
      </w:pPr>
      <w:r>
        <w:rPr>
          <w:sz w:val="32"/>
          <w:szCs w:val="32"/>
        </w:rPr>
        <w:t xml:space="preserve">formato; </w:t>
      </w:r>
    </w:p>
    <w:p>
      <w:pPr>
        <w:ind w:left="0" w:right="-1"/>
        <w:jc w:val="both"/>
        <w:rPr>
          <w:sz w:val="32"/>
          <w:szCs w:val="32"/>
        </w:rPr>
      </w:pPr>
      <w:r>
        <w:rPr>
          <w:sz w:val="32"/>
          <w:szCs w:val="32"/>
        </w:rPr>
        <w:t xml:space="preserve">• gli Stati membri nominano infine la Commissione nel suo complesso. </w:t>
      </w:r>
    </w:p>
    <w:p>
      <w:pPr>
        <w:ind w:left="0" w:right="-1"/>
        <w:rPr>
          <w:sz w:val="32"/>
          <w:szCs w:val="32"/>
        </w:rPr>
      </w:pPr>
      <w:r>
        <w:rPr>
          <w:sz w:val="32"/>
          <w:szCs w:val="32"/>
        </w:rPr>
        <w:t xml:space="preserve">I commissari sono nominati a titolo individuale e devono esercitare le loro </w:t>
      </w:r>
    </w:p>
    <w:p>
      <w:pPr>
        <w:ind w:left="0" w:right="-1"/>
        <w:rPr>
          <w:sz w:val="32"/>
          <w:szCs w:val="32"/>
        </w:rPr>
      </w:pPr>
      <w:r>
        <w:rPr>
          <w:sz w:val="32"/>
          <w:szCs w:val="32"/>
        </w:rPr>
        <w:t xml:space="preserve">funzioni in piena indipendenza. </w:t>
      </w:r>
    </w:p>
    <w:p>
      <w:pPr>
        <w:ind w:left="0" w:right="-1"/>
        <w:jc w:val="both"/>
        <w:rPr>
          <w:sz w:val="32"/>
          <w:szCs w:val="32"/>
        </w:rPr>
      </w:pPr>
      <w:r>
        <w:rPr>
          <w:sz w:val="32"/>
          <w:szCs w:val="32"/>
        </w:rPr>
        <w:t xml:space="preserve">La </w:t>
      </w:r>
      <w:r>
        <w:rPr>
          <w:b w:val="1"/>
          <w:bCs w:val="1"/>
          <w:sz w:val="32"/>
          <w:szCs w:val="32"/>
        </w:rPr>
        <w:t>Commissione agisce nell’esclusivo interesse dell’Unione</w:t>
      </w:r>
      <w:r>
        <w:rPr>
          <w:sz w:val="32"/>
          <w:szCs w:val="32"/>
        </w:rPr>
        <w:t xml:space="preserve">, non in quello degli Stati membri. Per questo i commissari non possono essere rimossi né dai governi nazionali, né dal Consiglio. Un provvedimento in tal senso può essere preso solo dal Parlamento europeo attraverso una </w:t>
      </w:r>
      <w:r>
        <w:rPr>
          <w:b w:val="1"/>
          <w:bCs w:val="1"/>
          <w:sz w:val="32"/>
          <w:szCs w:val="32"/>
        </w:rPr>
        <w:t>mozione di censura</w:t>
      </w:r>
      <w:r>
        <w:rPr>
          <w:sz w:val="32"/>
          <w:szCs w:val="32"/>
        </w:rPr>
        <w:t>.</w:t>
      </w:r>
    </w:p>
    <w:p>
      <w:pPr>
        <w:ind w:left="0" w:right="-1"/>
        <w:jc w:val="both"/>
        <w:rPr>
          <w:sz w:val="32"/>
          <w:szCs w:val="32"/>
        </w:rPr>
      </w:pPr>
    </w:p>
    <w:p>
      <w:pPr>
        <w:ind w:left="0" w:right="-1"/>
        <w:jc w:val="both"/>
        <w:rPr>
          <w:sz w:val="32"/>
          <w:szCs w:val="32"/>
        </w:rPr>
      </w:pPr>
    </w:p>
    <w:p>
      <w:pPr>
        <w:ind w:left="0" w:right="-1"/>
        <w:jc w:val="both"/>
        <w:rPr>
          <w:b w:val="1"/>
          <w:bCs w:val="1"/>
          <w:sz w:val="32"/>
          <w:szCs w:val="32"/>
        </w:rPr>
      </w:pPr>
      <w:r>
        <w:rPr>
          <w:b w:val="1"/>
          <w:bCs w:val="1"/>
          <w:sz w:val="32"/>
          <w:szCs w:val="32"/>
          <w:highlight w:val="yellow"/>
        </w:rPr>
        <w:t>LE FUNZIONI DELLA COMMISSIONE EUROPEA</w:t>
      </w:r>
    </w:p>
    <w:p>
      <w:pPr>
        <w:spacing w:before="0" w:beforeAutospacing="0" w:afterAutospacing="0"/>
        <w:ind w:left="0" w:right="-1"/>
        <w:jc w:val="both"/>
        <w:rPr>
          <w:sz w:val="32"/>
          <w:szCs w:val="32"/>
        </w:rPr>
      </w:pPr>
      <w:r>
        <w:rPr>
          <w:sz w:val="32"/>
          <w:szCs w:val="32"/>
        </w:rPr>
        <w:t xml:space="preserve">Le </w:t>
      </w:r>
      <w:r>
        <w:rPr>
          <w:b w:val="1"/>
          <w:bCs w:val="1"/>
          <w:sz w:val="32"/>
          <w:szCs w:val="32"/>
        </w:rPr>
        <w:t xml:space="preserve">funzioni </w:t>
      </w:r>
      <w:r>
        <w:rPr>
          <w:sz w:val="32"/>
          <w:szCs w:val="32"/>
        </w:rPr>
        <w:t xml:space="preserve">svolte dalla Commissione europea possono essere suddivise </w:t>
      </w:r>
    </w:p>
    <w:p>
      <w:pPr>
        <w:spacing w:before="0" w:beforeAutospacing="0" w:afterAutospacing="0"/>
        <w:ind w:left="0" w:right="-1"/>
        <w:jc w:val="both"/>
        <w:rPr>
          <w:sz w:val="32"/>
          <w:szCs w:val="32"/>
        </w:rPr>
      </w:pPr>
      <w:r>
        <w:rPr>
          <w:sz w:val="32"/>
          <w:szCs w:val="32"/>
        </w:rPr>
        <w:t xml:space="preserve">in </w:t>
      </w:r>
      <w:r>
        <w:rPr>
          <w:b w:val="1"/>
          <w:bCs w:val="1"/>
          <w:sz w:val="32"/>
          <w:szCs w:val="32"/>
        </w:rPr>
        <w:t>quattro grandi gruppi</w:t>
      </w:r>
      <w:r>
        <w:rPr>
          <w:sz w:val="32"/>
          <w:szCs w:val="32"/>
        </w:rPr>
        <w:t xml:space="preserve">: </w:t>
      </w:r>
    </w:p>
    <w:p>
      <w:pPr>
        <w:spacing w:before="0" w:beforeAutospacing="0" w:afterAutospacing="0"/>
        <w:ind w:left="0" w:right="-1"/>
        <w:jc w:val="both"/>
        <w:rPr>
          <w:sz w:val="32"/>
          <w:szCs w:val="32"/>
        </w:rPr>
      </w:pPr>
      <w:r>
        <w:rPr>
          <w:sz w:val="32"/>
          <w:szCs w:val="32"/>
        </w:rPr>
        <w:t xml:space="preserve">• </w:t>
      </w:r>
      <w:r>
        <w:rPr>
          <w:b w:val="1"/>
          <w:bCs w:val="1"/>
          <w:sz w:val="32"/>
          <w:szCs w:val="32"/>
        </w:rPr>
        <w:t>proporre gli atti legislativi al Parlamento e al Consiglio</w:t>
      </w:r>
      <w:r>
        <w:rPr>
          <w:sz w:val="32"/>
          <w:szCs w:val="32"/>
        </w:rPr>
        <w:t xml:space="preserve">, esercitando il cosiddetto </w:t>
      </w:r>
      <w:r>
        <w:rPr>
          <w:b w:val="1"/>
          <w:bCs w:val="1"/>
          <w:sz w:val="32"/>
          <w:szCs w:val="32"/>
        </w:rPr>
        <w:t>diritto d</w:t>
      </w:r>
      <w:r>
        <w:rPr>
          <w:rFonts w:ascii="Calibri" w:hAnsi="Calibri" w:cs="Calibri"/>
          <w:b w:val="1"/>
          <w:bCs w:val="1"/>
          <w:sz w:val="32"/>
          <w:szCs w:val="32"/>
        </w:rPr>
        <w:t>’</w:t>
      </w:r>
      <w:r>
        <w:rPr>
          <w:b w:val="1"/>
          <w:bCs w:val="1"/>
          <w:sz w:val="32"/>
          <w:szCs w:val="32"/>
        </w:rPr>
        <w:t>iniziativa</w:t>
      </w:r>
      <w:r>
        <w:rPr>
          <w:sz w:val="32"/>
          <w:szCs w:val="32"/>
        </w:rPr>
        <w:t xml:space="preserve">, vale a dire la competenza esclusiva ad elaborare proposte di atti normativi europei; </w:t>
      </w:r>
    </w:p>
    <w:p>
      <w:pPr>
        <w:spacing w:before="0" w:beforeAutospacing="0" w:afterAutospacing="0"/>
        <w:ind w:left="0" w:right="-1"/>
        <w:jc w:val="both"/>
        <w:rPr>
          <w:sz w:val="32"/>
          <w:szCs w:val="32"/>
        </w:rPr>
      </w:pPr>
      <w:r>
        <w:rPr>
          <w:sz w:val="32"/>
          <w:szCs w:val="32"/>
        </w:rPr>
        <w:t xml:space="preserve">• </w:t>
      </w:r>
      <w:r>
        <w:rPr>
          <w:b w:val="1"/>
          <w:bCs w:val="1"/>
          <w:sz w:val="32"/>
          <w:szCs w:val="32"/>
        </w:rPr>
        <w:t>dirigere ed eseguire le strategie politiche e il bilancio dell’Unione</w:t>
      </w:r>
      <w:r>
        <w:rPr>
          <w:sz w:val="32"/>
          <w:szCs w:val="32"/>
        </w:rPr>
        <w:t>, esercitando cio</w:t>
      </w:r>
      <w:r>
        <w:rPr>
          <w:rFonts w:ascii="Calibri" w:hAnsi="Calibri" w:cs="Calibri"/>
          <w:sz w:val="32"/>
          <w:szCs w:val="32"/>
        </w:rPr>
        <w:t>è</w:t>
      </w:r>
      <w:r>
        <w:rPr>
          <w:sz w:val="32"/>
          <w:szCs w:val="32"/>
        </w:rPr>
        <w:t xml:space="preserve"> il potere esecutivo e controllando come sono spesi i soldi dell’Unione; </w:t>
      </w:r>
    </w:p>
    <w:p>
      <w:pPr>
        <w:spacing w:before="0" w:beforeAutospacing="0" w:afterAutospacing="0"/>
        <w:ind w:left="0" w:right="-1"/>
        <w:jc w:val="both"/>
        <w:rPr>
          <w:sz w:val="32"/>
          <w:szCs w:val="32"/>
        </w:rPr>
      </w:pPr>
      <w:r>
        <w:rPr>
          <w:sz w:val="32"/>
          <w:szCs w:val="32"/>
        </w:rPr>
        <w:t xml:space="preserve">• </w:t>
      </w:r>
      <w:r>
        <w:rPr>
          <w:b w:val="1"/>
          <w:bCs w:val="1"/>
          <w:sz w:val="32"/>
          <w:szCs w:val="32"/>
        </w:rPr>
        <w:t>vigilare sull’osservanza dei trattati e sull’applicazione del diritto europeo</w:t>
      </w:r>
      <w:r>
        <w:rPr>
          <w:sz w:val="32"/>
          <w:szCs w:val="32"/>
        </w:rPr>
        <w:t xml:space="preserve">, al punto che la Commissione </w:t>
      </w:r>
      <w:r>
        <w:rPr>
          <w:rFonts w:ascii="Calibri" w:hAnsi="Calibri" w:cs="Calibri"/>
          <w:sz w:val="32"/>
          <w:szCs w:val="32"/>
        </w:rPr>
        <w:t>è</w:t>
      </w:r>
      <w:r>
        <w:rPr>
          <w:sz w:val="32"/>
          <w:szCs w:val="32"/>
        </w:rPr>
        <w:t xml:space="preserve"> definita l</w:t>
      </w:r>
      <w:r>
        <w:rPr>
          <w:rFonts w:ascii="Calibri" w:hAnsi="Calibri" w:cs="Calibri"/>
          <w:sz w:val="32"/>
          <w:szCs w:val="32"/>
        </w:rPr>
        <w:t>’</w:t>
      </w:r>
      <w:r>
        <w:rPr>
          <w:sz w:val="32"/>
          <w:szCs w:val="32"/>
        </w:rPr>
        <w:t xml:space="preserve">organo </w:t>
      </w:r>
      <w:r>
        <w:rPr>
          <w:rFonts w:ascii="Calibri" w:hAnsi="Calibri" w:cs="Calibri"/>
          <w:sz w:val="32"/>
          <w:szCs w:val="32"/>
        </w:rPr>
        <w:t>“</w:t>
      </w:r>
      <w:r>
        <w:rPr>
          <w:sz w:val="32"/>
          <w:szCs w:val="32"/>
        </w:rPr>
        <w:t xml:space="preserve">custode dei trattati”. Essa svolge tale funzione insieme alla Corte di giustizia. Se, infatti, la Commissione reputa che uno Stato membro non rispetti gli obblighi che gli derivano dalle disposizioni dei trattati o dalle norme dell’Unione, deve imporre la cessazione della violazione. Per raggiungere tale obiettivo la Commissione avvia un cosiddetto </w:t>
      </w:r>
      <w:r>
        <w:rPr>
          <w:rFonts w:ascii="Calibri" w:hAnsi="Calibri" w:cs="Calibri"/>
          <w:b w:val="1"/>
          <w:bCs w:val="1"/>
          <w:sz w:val="32"/>
          <w:szCs w:val="32"/>
        </w:rPr>
        <w:t>«</w:t>
      </w:r>
      <w:r>
        <w:rPr>
          <w:b w:val="1"/>
          <w:bCs w:val="1"/>
          <w:sz w:val="32"/>
          <w:szCs w:val="32"/>
        </w:rPr>
        <w:t>procedimento di infrazione»</w:t>
      </w:r>
      <w:r>
        <w:rPr>
          <w:sz w:val="32"/>
          <w:szCs w:val="32"/>
        </w:rPr>
        <w:t xml:space="preserve">, informando il Governo interessato dei motivi per cui ritiene che il paese stia violando la legislazione dell’Unione e fissando un termine entro il quale questo dovrà fornire una risposta. Se lo Stato persiste nella sua infrazione, la Commissione può ricorrere alla Corte di giustizia, che ha la facoltà di applicare sanzioni pecuniarie nei confronti dello Stato inadempiente; </w:t>
      </w:r>
    </w:p>
    <w:p>
      <w:pPr>
        <w:spacing w:before="0" w:beforeAutospacing="0" w:afterAutospacing="0"/>
        <w:ind w:left="0" w:right="-1"/>
        <w:jc w:val="both"/>
        <w:rPr>
          <w:sz w:val="32"/>
          <w:szCs w:val="32"/>
        </w:rPr>
      </w:pPr>
      <w:r>
        <w:rPr>
          <w:sz w:val="32"/>
          <w:szCs w:val="32"/>
        </w:rPr>
        <w:t xml:space="preserve">• </w:t>
      </w:r>
      <w:r>
        <w:rPr>
          <w:b w:val="1"/>
          <w:bCs w:val="1"/>
          <w:sz w:val="32"/>
          <w:szCs w:val="32"/>
        </w:rPr>
        <w:t>rappresentare l’Unione europea a livello internazionale</w:t>
      </w:r>
      <w:r>
        <w:rPr>
          <w:sz w:val="32"/>
          <w:szCs w:val="32"/>
        </w:rPr>
        <w:t>: la funzione di rappresentanza internazionale si svolge sia intrattenendo rapporti diplomatici con altri Stati sia sedendo a nome dell</w:t>
      </w:r>
      <w:r>
        <w:rPr>
          <w:rFonts w:ascii="Calibri" w:hAnsi="Calibri" w:cs="Calibri"/>
          <w:sz w:val="32"/>
          <w:szCs w:val="32"/>
        </w:rPr>
        <w:t>’</w:t>
      </w:r>
      <w:r>
        <w:rPr>
          <w:sz w:val="32"/>
          <w:szCs w:val="32"/>
        </w:rPr>
        <w:t>Unione in alcune organizzazioni internazionali.</w:t>
      </w: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pStyle w:val="P2"/>
        <w:jc w:val="center"/>
      </w:pPr>
      <w:r>
        <w:t>LA CORTE DI GIUSTIZIA DELL’UNIONE EUROPEA</w:t>
      </w:r>
    </w:p>
    <w:p>
      <w:pPr>
        <w:ind w:left="0" w:right="-1"/>
        <w:jc w:val="both"/>
        <w:rPr>
          <w:sz w:val="32"/>
          <w:szCs w:val="32"/>
        </w:rPr>
      </w:pPr>
      <w:r>
        <w:rPr>
          <w:sz w:val="32"/>
          <w:szCs w:val="32"/>
        </w:rPr>
        <w:t xml:space="preserve">La </w:t>
      </w:r>
      <w:r>
        <w:rPr>
          <w:b w:val="1"/>
          <w:bCs w:val="1"/>
          <w:sz w:val="32"/>
          <w:szCs w:val="32"/>
        </w:rPr>
        <w:t xml:space="preserve">Corte di giustizia dell’Unione europea </w:t>
      </w:r>
      <w:r>
        <w:rPr>
          <w:sz w:val="32"/>
          <w:szCs w:val="32"/>
        </w:rPr>
        <w:t>ha il compito di garantire che la legislazione dell</w:t>
      </w:r>
      <w:r>
        <w:rPr>
          <w:rFonts w:ascii="Calibri" w:hAnsi="Calibri" w:cs="Calibri"/>
          <w:sz w:val="32"/>
          <w:szCs w:val="32"/>
        </w:rPr>
        <w:t>’</w:t>
      </w:r>
      <w:r>
        <w:rPr>
          <w:sz w:val="32"/>
          <w:szCs w:val="32"/>
        </w:rPr>
        <w:t>Unione sia interpretata e applicata allo stesso modo in tutti gli Stati membri.</w:t>
      </w:r>
    </w:p>
    <w:p>
      <w:pPr>
        <w:ind w:left="0" w:right="-1"/>
        <w:jc w:val="both"/>
        <w:rPr>
          <w:sz w:val="32"/>
          <w:szCs w:val="32"/>
        </w:rPr>
      </w:pPr>
      <w:r>
        <w:rPr>
          <w:sz w:val="32"/>
          <w:szCs w:val="32"/>
        </w:rPr>
        <w:t>In realtà la Corte svolge anche altri compiti. In particolare, essa deve verificare:</w:t>
      </w:r>
    </w:p>
    <w:p>
      <w:pPr>
        <w:ind w:left="0" w:right="-1"/>
        <w:jc w:val="both"/>
        <w:rPr>
          <w:sz w:val="32"/>
          <w:szCs w:val="32"/>
        </w:rPr>
      </w:pPr>
      <w:r>
        <w:rPr>
          <w:sz w:val="32"/>
          <w:szCs w:val="32"/>
        </w:rPr>
        <w:t>• che gli atti approvati dalle istituzioni europee non siano illegittimi (ricorso di annullamento);</w:t>
      </w:r>
    </w:p>
    <w:p>
      <w:pPr>
        <w:ind w:left="0" w:right="-1"/>
        <w:jc w:val="both"/>
        <w:rPr>
          <w:sz w:val="32"/>
          <w:szCs w:val="32"/>
        </w:rPr>
      </w:pPr>
      <w:r>
        <w:rPr>
          <w:sz w:val="32"/>
          <w:szCs w:val="32"/>
        </w:rPr>
        <w:t>• che uno Stato membro non sia inadempiente nell’esecuzione degli obblighi a suo carico (ricorso per inadempimento);</w:t>
      </w:r>
    </w:p>
    <w:p>
      <w:pPr>
        <w:ind w:left="0" w:right="-1"/>
        <w:jc w:val="both"/>
        <w:rPr>
          <w:sz w:val="32"/>
          <w:szCs w:val="32"/>
        </w:rPr>
      </w:pPr>
      <w:r>
        <w:rPr>
          <w:sz w:val="32"/>
          <w:szCs w:val="32"/>
        </w:rPr>
        <w:t>• che una istituzione europea non debba essere condannata perché no ha adottato determinati atti (ricorso in carenza).</w:t>
      </w:r>
    </w:p>
    <w:p>
      <w:pPr>
        <w:ind w:left="0" w:right="-1"/>
        <w:jc w:val="both"/>
        <w:rPr>
          <w:sz w:val="32"/>
          <w:szCs w:val="32"/>
        </w:rPr>
      </w:pPr>
      <w:r>
        <w:rPr>
          <w:sz w:val="32"/>
          <w:szCs w:val="32"/>
        </w:rPr>
        <w:t xml:space="preserve">Corte è composta da un </w:t>
      </w:r>
      <w:r>
        <w:rPr>
          <w:b w:val="1"/>
          <w:bCs w:val="1"/>
          <w:sz w:val="32"/>
          <w:szCs w:val="32"/>
        </w:rPr>
        <w:t>giudice per ogni Stato membro</w:t>
      </w:r>
      <w:r>
        <w:rPr>
          <w:sz w:val="32"/>
          <w:szCs w:val="32"/>
        </w:rPr>
        <w:t xml:space="preserve"> in modo da rappresentare tutti gli ordinamenti giuridici nazionali dell’Unione europea. Essa </w:t>
      </w:r>
      <w:r>
        <w:rPr>
          <w:rFonts w:ascii="Calibri" w:hAnsi="Calibri" w:cs="Calibri"/>
          <w:sz w:val="32"/>
          <w:szCs w:val="32"/>
        </w:rPr>
        <w:t>è</w:t>
      </w:r>
      <w:r>
        <w:rPr>
          <w:sz w:val="32"/>
          <w:szCs w:val="32"/>
        </w:rPr>
        <w:t xml:space="preserve"> assistita da undici </w:t>
      </w:r>
      <w:r>
        <w:rPr>
          <w:b w:val="1"/>
          <w:bCs w:val="1"/>
          <w:sz w:val="32"/>
          <w:szCs w:val="32"/>
        </w:rPr>
        <w:t xml:space="preserve">avvocati generali </w:t>
      </w:r>
      <w:r>
        <w:rPr>
          <w:sz w:val="32"/>
          <w:szCs w:val="32"/>
        </w:rPr>
        <w:t>(esperto di diritto europeo che opera al servizio della Corte di giustizia) che hanno il compito di presentare pubblicamente e con assoluta imparzialità conclusioni motivate sulle cause dibattute dinanzi la Corte.</w:t>
      </w:r>
    </w:p>
    <w:p>
      <w:pPr>
        <w:ind w:left="0" w:right="-1"/>
        <w:jc w:val="both"/>
        <w:rPr>
          <w:sz w:val="32"/>
          <w:szCs w:val="32"/>
        </w:rPr>
      </w:pPr>
      <w:r>
        <w:rPr>
          <w:sz w:val="32"/>
          <w:szCs w:val="32"/>
        </w:rPr>
        <w:t xml:space="preserve">La Corte è un organo complesso, suddiviso </w:t>
      </w:r>
      <w:r>
        <w:rPr>
          <w:b w:val="1"/>
          <w:bCs w:val="1"/>
          <w:sz w:val="32"/>
          <w:szCs w:val="32"/>
        </w:rPr>
        <w:t>in tre sezioni principali</w:t>
      </w:r>
      <w:r>
        <w:rPr>
          <w:sz w:val="32"/>
          <w:szCs w:val="32"/>
        </w:rPr>
        <w:t xml:space="preserve">: </w:t>
      </w:r>
    </w:p>
    <w:p>
      <w:pPr>
        <w:ind w:left="0" w:right="-1"/>
        <w:jc w:val="both"/>
        <w:rPr>
          <w:sz w:val="32"/>
          <w:szCs w:val="32"/>
        </w:rPr>
      </w:pPr>
      <w:r>
        <w:rPr>
          <w:sz w:val="32"/>
          <w:szCs w:val="32"/>
        </w:rPr>
        <w:t xml:space="preserve">• </w:t>
      </w:r>
      <w:r>
        <w:rPr>
          <w:b w:val="1"/>
          <w:bCs w:val="1"/>
          <w:sz w:val="32"/>
          <w:szCs w:val="32"/>
        </w:rPr>
        <w:t>Corte di giustizia</w:t>
      </w:r>
      <w:r>
        <w:rPr>
          <w:sz w:val="32"/>
          <w:szCs w:val="32"/>
        </w:rPr>
        <w:t xml:space="preserve">, tratta le richieste di pronuncia pregiudiziale presentate dai tribunali nazionali e alcuni ricorsi per annullamento e impugnazioni; </w:t>
      </w:r>
    </w:p>
    <w:p>
      <w:pPr>
        <w:ind w:left="0" w:right="-1"/>
        <w:jc w:val="both"/>
        <w:rPr>
          <w:sz w:val="32"/>
          <w:szCs w:val="32"/>
        </w:rPr>
      </w:pPr>
      <w:r>
        <w:rPr>
          <w:sz w:val="32"/>
          <w:szCs w:val="32"/>
        </w:rPr>
        <w:t>•</w:t>
      </w:r>
      <w:r>
        <w:rPr>
          <w:b w:val="1"/>
          <w:bCs w:val="1"/>
          <w:sz w:val="32"/>
          <w:szCs w:val="32"/>
        </w:rPr>
        <w:t xml:space="preserve"> Tribunale</w:t>
      </w:r>
      <w:r>
        <w:rPr>
          <w:sz w:val="32"/>
          <w:szCs w:val="32"/>
        </w:rPr>
        <w:t xml:space="preserve">, giudica sui ricorsi per annullamento presentati da privati cittadini, imprese e, in taluni casi, governi di paesi dell’UE. In pratica, questa sezione si occupa principalmente di diritto della concorrenza, aiuti di Stato, commercio, agricoltura e marchi; </w:t>
      </w:r>
    </w:p>
    <w:p>
      <w:pPr>
        <w:ind w:left="0" w:right="-1"/>
        <w:jc w:val="both"/>
        <w:rPr>
          <w:sz w:val="32"/>
          <w:szCs w:val="32"/>
        </w:rPr>
      </w:pPr>
      <w:r>
        <w:rPr>
          <w:sz w:val="32"/>
          <w:szCs w:val="32"/>
        </w:rPr>
        <w:t xml:space="preserve">• </w:t>
      </w:r>
      <w:r>
        <w:rPr>
          <w:b w:val="1"/>
          <w:bCs w:val="1"/>
          <w:sz w:val="32"/>
          <w:szCs w:val="32"/>
        </w:rPr>
        <w:t>Tribunale della funzione pubblica</w:t>
      </w:r>
      <w:r>
        <w:rPr>
          <w:sz w:val="32"/>
          <w:szCs w:val="32"/>
        </w:rPr>
        <w:t>, giudica sulle controversie tra l’UE e il suo personale.</w:t>
      </w:r>
    </w:p>
    <w:p>
      <w:pPr>
        <w:ind w:left="0" w:right="-1"/>
        <w:jc w:val="both"/>
        <w:rPr>
          <w:sz w:val="32"/>
          <w:szCs w:val="32"/>
        </w:rPr>
      </w:pPr>
    </w:p>
    <w:p>
      <w:pPr>
        <w:ind w:left="0" w:right="-1"/>
        <w:jc w:val="both"/>
        <w:rPr>
          <w:sz w:val="32"/>
          <w:szCs w:val="32"/>
        </w:rPr>
      </w:pPr>
    </w:p>
    <w:p>
      <w:pPr>
        <w:ind w:left="0" w:right="-1"/>
        <w:jc w:val="both"/>
        <w:rPr>
          <w:sz w:val="32"/>
          <w:szCs w:val="32"/>
        </w:rPr>
      </w:pPr>
    </w:p>
    <w:p>
      <w:pPr>
        <w:ind w:left="0" w:right="-1"/>
        <w:jc w:val="both"/>
        <w:rPr>
          <w:sz w:val="32"/>
          <w:szCs w:val="32"/>
        </w:rPr>
      </w:pPr>
    </w:p>
    <w:p>
      <w:pPr>
        <w:pStyle w:val="P2"/>
        <w:jc w:val="center"/>
      </w:pPr>
      <w:r>
        <w:t>LA BANCA CENTRALE EUROPEA (BCE) E LA CORTE DEI CONTI</w:t>
      </w:r>
    </w:p>
    <w:p>
      <w:pPr>
        <w:ind w:left="0" w:right="-1"/>
        <w:jc w:val="both"/>
        <w:rPr>
          <w:sz w:val="32"/>
          <w:szCs w:val="32"/>
        </w:rPr>
      </w:pPr>
      <w:r>
        <w:rPr>
          <w:sz w:val="32"/>
          <w:szCs w:val="32"/>
        </w:rPr>
        <w:t xml:space="preserve">La </w:t>
      </w:r>
      <w:r>
        <w:rPr>
          <w:b w:val="1"/>
          <w:bCs w:val="1"/>
          <w:sz w:val="32"/>
          <w:szCs w:val="32"/>
        </w:rPr>
        <w:t xml:space="preserve">Banca centrale europea (BCE) </w:t>
      </w:r>
      <w:r>
        <w:rPr>
          <w:sz w:val="32"/>
          <w:szCs w:val="32"/>
        </w:rPr>
        <w:t xml:space="preserve">e la </w:t>
      </w:r>
      <w:r>
        <w:rPr>
          <w:b w:val="1"/>
          <w:bCs w:val="1"/>
          <w:sz w:val="32"/>
          <w:szCs w:val="32"/>
        </w:rPr>
        <w:t>Corte dei conti</w:t>
      </w:r>
      <w:r>
        <w:rPr>
          <w:sz w:val="32"/>
          <w:szCs w:val="32"/>
        </w:rPr>
        <w:t xml:space="preserve"> sono i principali organi di controllo economico dell</w:t>
      </w:r>
      <w:r>
        <w:rPr>
          <w:rFonts w:ascii="Calibri" w:hAnsi="Calibri" w:cs="Calibri"/>
          <w:sz w:val="32"/>
          <w:szCs w:val="32"/>
        </w:rPr>
        <w:t>’</w:t>
      </w:r>
      <w:r>
        <w:rPr>
          <w:sz w:val="32"/>
          <w:szCs w:val="32"/>
        </w:rPr>
        <w:t>Unione.</w:t>
      </w:r>
    </w:p>
    <w:p>
      <w:pPr>
        <w:ind w:left="0" w:right="-1"/>
        <w:jc w:val="both"/>
        <w:rPr>
          <w:b w:val="1"/>
          <w:bCs w:val="1"/>
          <w:sz w:val="32"/>
          <w:szCs w:val="32"/>
        </w:rPr>
      </w:pPr>
      <w:r>
        <w:rPr>
          <w:b w:val="1"/>
          <w:bCs w:val="1"/>
          <w:sz w:val="32"/>
          <w:szCs w:val="32"/>
          <w:highlight w:val="yellow"/>
        </w:rPr>
        <w:t>LA BANCA CENTRALE EUROPEA (BCE)</w:t>
      </w:r>
    </w:p>
    <w:p>
      <w:pPr>
        <w:spacing w:before="0" w:beforeAutospacing="0" w:afterAutospacing="0"/>
        <w:ind w:left="0" w:right="-1"/>
        <w:jc w:val="both"/>
        <w:rPr>
          <w:sz w:val="32"/>
          <w:szCs w:val="32"/>
        </w:rPr>
      </w:pPr>
      <w:r>
        <w:rPr>
          <w:sz w:val="32"/>
          <w:szCs w:val="32"/>
        </w:rPr>
        <w:t>La Banca centrale europea (BCE) è l’organo dell’Unione europea che ha il compito di:</w:t>
      </w:r>
    </w:p>
    <w:p>
      <w:pPr>
        <w:ind w:left="0" w:right="-1"/>
        <w:jc w:val="both"/>
        <w:rPr>
          <w:sz w:val="32"/>
          <w:szCs w:val="32"/>
        </w:rPr>
      </w:pPr>
      <w:r>
        <w:rPr>
          <w:sz w:val="32"/>
          <w:szCs w:val="32"/>
        </w:rPr>
        <w:t xml:space="preserve">• </w:t>
      </w:r>
      <w:r>
        <w:rPr>
          <w:b w:val="1"/>
          <w:bCs w:val="1"/>
          <w:sz w:val="32"/>
          <w:szCs w:val="32"/>
        </w:rPr>
        <w:t>gestire la moneta unica</w:t>
      </w:r>
      <w:r>
        <w:rPr>
          <w:sz w:val="32"/>
          <w:szCs w:val="32"/>
        </w:rPr>
        <w:t>, l’euro, nei Paesi in cui è stata adottata;</w:t>
      </w:r>
    </w:p>
    <w:p>
      <w:pPr>
        <w:ind w:left="0" w:right="-1"/>
        <w:jc w:val="both"/>
        <w:rPr>
          <w:sz w:val="32"/>
          <w:szCs w:val="32"/>
        </w:rPr>
      </w:pPr>
      <w:r>
        <w:rPr>
          <w:sz w:val="32"/>
          <w:szCs w:val="32"/>
        </w:rPr>
        <w:t xml:space="preserve">• </w:t>
      </w:r>
      <w:r>
        <w:rPr>
          <w:b w:val="1"/>
          <w:bCs w:val="1"/>
          <w:sz w:val="32"/>
          <w:szCs w:val="32"/>
        </w:rPr>
        <w:t>mantenere la stabilità dei prezzi</w:t>
      </w:r>
      <w:r>
        <w:rPr>
          <w:sz w:val="32"/>
          <w:szCs w:val="32"/>
        </w:rPr>
        <w:t xml:space="preserve"> per favorire la crescita economica e l’occupazione.</w:t>
      </w:r>
    </w:p>
    <w:p>
      <w:pPr>
        <w:ind w:left="0" w:right="-1"/>
        <w:jc w:val="both"/>
        <w:rPr>
          <w:sz w:val="32"/>
          <w:szCs w:val="32"/>
        </w:rPr>
      </w:pPr>
      <w:r>
        <w:rPr>
          <w:sz w:val="32"/>
          <w:szCs w:val="32"/>
        </w:rPr>
        <w:t xml:space="preserve">La BCE è entrata in funzione il 3 giugno 1998. Insieme alle banche centrali nazionali di </w:t>
      </w:r>
      <w:r>
        <w:rPr>
          <w:b w:val="1"/>
          <w:bCs w:val="1"/>
          <w:sz w:val="32"/>
          <w:szCs w:val="32"/>
        </w:rPr>
        <w:t xml:space="preserve">tutti </w:t>
      </w:r>
      <w:r>
        <w:rPr>
          <w:sz w:val="32"/>
          <w:szCs w:val="32"/>
        </w:rPr>
        <w:t xml:space="preserve">gli Stati membri della UE, costituisce il </w:t>
      </w:r>
      <w:r>
        <w:rPr>
          <w:b w:val="1"/>
          <w:bCs w:val="1"/>
          <w:sz w:val="32"/>
          <w:szCs w:val="32"/>
        </w:rPr>
        <w:t>Sistema europeo delle banche centrali (SEBC)</w:t>
      </w:r>
      <w:r>
        <w:rPr>
          <w:sz w:val="32"/>
          <w:szCs w:val="32"/>
        </w:rPr>
        <w:t xml:space="preserve">. Insieme alle banche centrali nazionali degli Stati membri che </w:t>
      </w:r>
      <w:r>
        <w:rPr>
          <w:b w:val="1"/>
          <w:bCs w:val="1"/>
          <w:sz w:val="32"/>
          <w:szCs w:val="32"/>
        </w:rPr>
        <w:t>hanno adottato l’euro</w:t>
      </w:r>
      <w:r>
        <w:rPr>
          <w:sz w:val="32"/>
          <w:szCs w:val="32"/>
        </w:rPr>
        <w:t xml:space="preserve">, costituisce il cosiddetto </w:t>
      </w:r>
      <w:r>
        <w:rPr>
          <w:b w:val="1"/>
          <w:bCs w:val="1"/>
          <w:sz w:val="32"/>
          <w:szCs w:val="32"/>
        </w:rPr>
        <w:t>Eurosistema</w:t>
      </w:r>
      <w:r>
        <w:rPr>
          <w:sz w:val="32"/>
          <w:szCs w:val="32"/>
        </w:rPr>
        <w:t xml:space="preserve">. </w:t>
      </w:r>
    </w:p>
    <w:p>
      <w:pPr>
        <w:ind w:left="0" w:right="-1"/>
        <w:jc w:val="both"/>
        <w:rPr>
          <w:b w:val="1"/>
          <w:bCs w:val="1"/>
          <w:sz w:val="32"/>
          <w:szCs w:val="32"/>
        </w:rPr>
      </w:pPr>
      <w:r>
        <w:rPr>
          <w:b w:val="1"/>
          <w:bCs w:val="1"/>
          <w:sz w:val="32"/>
          <w:szCs w:val="32"/>
          <w:highlight w:val="yellow"/>
        </w:rPr>
        <w:t>LA CORTE DEI CONTI</w:t>
      </w:r>
    </w:p>
    <w:p>
      <w:pPr>
        <w:spacing w:before="0" w:beforeAutospacing="0" w:afterAutospacing="0"/>
        <w:ind w:left="0" w:right="-1"/>
        <w:jc w:val="both"/>
        <w:rPr>
          <w:sz w:val="32"/>
          <w:szCs w:val="32"/>
        </w:rPr>
      </w:pPr>
      <w:r>
        <w:rPr>
          <w:sz w:val="32"/>
          <w:szCs w:val="32"/>
        </w:rPr>
        <w:t xml:space="preserve">La </w:t>
      </w:r>
      <w:r>
        <w:rPr>
          <w:b w:val="1"/>
          <w:bCs w:val="1"/>
          <w:sz w:val="32"/>
          <w:szCs w:val="32"/>
        </w:rPr>
        <w:t>Corte dei conti esamina tutte le entrate e le spese dell’Unione</w:t>
      </w:r>
      <w:r>
        <w:rPr>
          <w:sz w:val="32"/>
          <w:szCs w:val="32"/>
        </w:rPr>
        <w:t xml:space="preserve"> e di ogni organismo creato dalla stessa, a meno che l’atto costitutivo non escluda espressamente tale riesame. La Corte è l’organo di controllo per eccellenza, in particolare per quel che riguarda il bilancio, cioè il più importante documento contabile dell</w:t>
      </w:r>
      <w:r>
        <w:rPr>
          <w:rFonts w:ascii="Calibri" w:hAnsi="Calibri" w:cs="Calibri"/>
          <w:sz w:val="32"/>
          <w:szCs w:val="32"/>
        </w:rPr>
        <w:t>’</w:t>
      </w:r>
      <w:r>
        <w:rPr>
          <w:sz w:val="32"/>
          <w:szCs w:val="32"/>
        </w:rPr>
        <w:t>Unione. I membri della Corte (uno per ogni Stato) sono nominati dal Consiglio dopo consultazione del Parlamento europeo, e restano in carica per sei anni. Devono essere scelti tra persone competenti, che offrano garanzia di indipendenza.</w:t>
      </w:r>
    </w:p>
    <w:sectPr>
      <w:type w:val="nextPage"/>
      <w:pgSz w:w="11906" w:h="16838" w:code="0"/>
      <w:pgMar w:left="1134" w:right="1134" w:top="1417"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08"/>
  <w:autoHyphenation w:val="0"/>
  <w:hyphenationZone w:val="283"/>
  <w:evenAndOddHeaders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kern w:val="2"/>
        <w:lang w:val="it-IT" w:bidi="ar-SA" w:eastAsia="en-US"/>
      </w:rPr>
    </w:rPrDefault>
    <w:pPrDefault>
      <w:pPr>
        <w:keepNext w:val="0"/>
        <w:keepLines w:val="0"/>
        <w:pageBreakBefore w:val="0"/>
        <w:widowControl w:val="1"/>
        <w:suppressLineNumbers w:val="0"/>
        <w:shd w:val="clear" w:fill="auto"/>
        <w:suppressAutoHyphens w:val="0"/>
        <w:spacing w:lineRule="auto" w:line="240" w:before="120" w:after="120" w:beforeAutospacing="0" w:afterAutospacing="0"/>
        <w:ind w:firstLine="0" w:left="1701" w:right="1701"/>
        <w:contextualSpacing w:val="0"/>
        <w:bidi w:val="0"/>
        <w:jc w:val="left"/>
        <w:outlineLvl w:val="9"/>
      </w:pPr>
    </w:pPrDefault>
  </w:docDefaults>
  <w:style w:type="paragraph" w:styleId="P0" w:default="1">
    <w:name w:val="Normal"/>
    <w:qFormat/>
    <w:pPr>
      <w:widowControl w:val="0"/>
      <w:spacing w:after="0" w:beforeAutospacing="0" w:afterAutospacing="0"/>
    </w:pPr>
    <w:rPr/>
  </w:style>
  <w:style w:type="paragraph" w:styleId="P1">
    <w:name w:val="Heading 1"/>
    <w:basedOn w:val="P0"/>
    <w:next w:val="P0"/>
    <w:link w:val="C3"/>
    <w:qFormat/>
    <w:pPr>
      <w:keepNext w:val="1"/>
      <w:keepLines w:val="1"/>
      <w:spacing w:before="360" w:after="80" w:beforeAutospacing="0" w:afterAutospacing="0"/>
      <w:outlineLvl w:val="0"/>
    </w:pPr>
    <w:rPr>
      <w:rFonts w:asciiTheme="majorHAnsi" w:hAnsiTheme="majorHAnsi" w:cstheme="majorBidi" w:eastAsiaTheme="majorEastAsia"/>
      <w:color w:val="2F5496" w:themeColor="accent1" w:themeShade="BF"/>
      <w:sz w:val="40"/>
      <w:szCs w:val="40"/>
    </w:rPr>
  </w:style>
  <w:style w:type="paragraph" w:styleId="P2">
    <w:name w:val="Heading 2"/>
    <w:basedOn w:val="P0"/>
    <w:next w:val="P0"/>
    <w:link w:val="C4"/>
    <w:qFormat/>
    <w:pPr>
      <w:keepNext w:val="1"/>
      <w:keepLines w:val="1"/>
      <w:spacing w:before="160" w:after="80" w:beforeAutospacing="0" w:afterAutospacing="0"/>
      <w:outlineLvl w:val="1"/>
    </w:pPr>
    <w:rPr>
      <w:rFonts w:asciiTheme="majorHAnsi" w:hAnsiTheme="majorHAnsi" w:cstheme="majorBidi" w:eastAsiaTheme="majorEastAsia"/>
      <w:color w:val="2F5496" w:themeColor="accent1" w:themeShade="BF"/>
      <w:sz w:val="32"/>
      <w:szCs w:val="32"/>
    </w:rPr>
  </w:style>
  <w:style w:type="paragraph" w:styleId="P3">
    <w:name w:val="Heading 3"/>
    <w:basedOn w:val="P0"/>
    <w:next w:val="P0"/>
    <w:link w:val="C5"/>
    <w:semiHidden/>
    <w:qFormat/>
    <w:pPr>
      <w:keepNext w:val="1"/>
      <w:keepLines w:val="1"/>
      <w:spacing w:before="160" w:after="80" w:beforeAutospacing="0" w:afterAutospacing="0"/>
      <w:outlineLvl w:val="2"/>
    </w:pPr>
    <w:rPr>
      <w:rFonts w:cstheme="majorBidi" w:eastAsiaTheme="majorEastAsia"/>
      <w:color w:val="2F5496" w:themeColor="accent1" w:themeShade="BF"/>
      <w:sz w:val="28"/>
      <w:szCs w:val="28"/>
    </w:rPr>
  </w:style>
  <w:style w:type="paragraph" w:styleId="P4">
    <w:name w:val="Heading 4"/>
    <w:basedOn w:val="P0"/>
    <w:next w:val="P0"/>
    <w:link w:val="C6"/>
    <w:semiHidden/>
    <w:qFormat/>
    <w:pPr>
      <w:keepNext w:val="1"/>
      <w:keepLines w:val="1"/>
      <w:spacing w:before="80" w:after="40" w:beforeAutospacing="0" w:afterAutospacing="0"/>
      <w:outlineLvl w:val="3"/>
    </w:pPr>
    <w:rPr>
      <w:rFonts w:cstheme="majorBidi" w:eastAsiaTheme="majorEastAsia"/>
      <w:i w:val="1"/>
      <w:iCs w:val="1"/>
      <w:color w:val="2F5496" w:themeColor="accent1" w:themeShade="BF"/>
    </w:rPr>
  </w:style>
  <w:style w:type="paragraph" w:styleId="P5">
    <w:name w:val="Heading 5"/>
    <w:basedOn w:val="P0"/>
    <w:next w:val="P0"/>
    <w:link w:val="C7"/>
    <w:semiHidden/>
    <w:qFormat/>
    <w:pPr>
      <w:keepNext w:val="1"/>
      <w:keepLines w:val="1"/>
      <w:spacing w:before="80" w:after="40" w:beforeAutospacing="0" w:afterAutospacing="0"/>
      <w:outlineLvl w:val="4"/>
    </w:pPr>
    <w:rPr>
      <w:rFonts w:cstheme="majorBidi" w:eastAsiaTheme="majorEastAsia"/>
      <w:color w:val="2F5496" w:themeColor="accent1" w:themeShade="BF"/>
    </w:rPr>
  </w:style>
  <w:style w:type="paragraph" w:styleId="P6">
    <w:name w:val="Heading 6"/>
    <w:basedOn w:val="P0"/>
    <w:next w:val="P0"/>
    <w:link w:val="C8"/>
    <w:semiHidden/>
    <w:qFormat/>
    <w:pPr>
      <w:keepNext w:val="1"/>
      <w:keepLines w:val="1"/>
      <w:spacing w:before="40" w:beforeAutospacing="0" w:afterAutospacing="0"/>
      <w:outlineLvl w:val="5"/>
    </w:pPr>
    <w:rPr>
      <w:rFonts w:cstheme="majorBidi" w:eastAsiaTheme="majorEastAsia"/>
      <w:i w:val="1"/>
      <w:iCs w:val="1"/>
      <w:color w:val="595959" w:themeColor="text1" w:themeTint="A6"/>
    </w:rPr>
  </w:style>
  <w:style w:type="paragraph" w:styleId="P7">
    <w:name w:val="Heading 7"/>
    <w:basedOn w:val="P0"/>
    <w:next w:val="P0"/>
    <w:link w:val="C9"/>
    <w:semiHidden/>
    <w:qFormat/>
    <w:pPr>
      <w:keepNext w:val="1"/>
      <w:keepLines w:val="1"/>
      <w:spacing w:before="40" w:beforeAutospacing="0" w:afterAutospacing="0"/>
      <w:outlineLvl w:val="6"/>
    </w:pPr>
    <w:rPr>
      <w:rFonts w:cstheme="majorBidi" w:eastAsiaTheme="majorEastAsia"/>
      <w:color w:val="595959" w:themeColor="text1" w:themeTint="A6"/>
    </w:rPr>
  </w:style>
  <w:style w:type="paragraph" w:styleId="P8">
    <w:name w:val="Heading 8"/>
    <w:basedOn w:val="P0"/>
    <w:next w:val="P0"/>
    <w:link w:val="C10"/>
    <w:semiHidden/>
    <w:qFormat/>
    <w:pPr>
      <w:keepNext w:val="1"/>
      <w:keepLines w:val="1"/>
      <w:spacing w:before="0" w:beforeAutospacing="0" w:afterAutospacing="0"/>
      <w:outlineLvl w:val="7"/>
    </w:pPr>
    <w:rPr>
      <w:rFonts w:cstheme="majorBidi" w:eastAsiaTheme="majorEastAsia"/>
      <w:i w:val="1"/>
      <w:iCs w:val="1"/>
      <w:color w:val="272727" w:themeColor="text1" w:themeTint="D8"/>
    </w:rPr>
  </w:style>
  <w:style w:type="paragraph" w:styleId="P9">
    <w:name w:val="Heading 9"/>
    <w:basedOn w:val="P0"/>
    <w:next w:val="P0"/>
    <w:link w:val="C11"/>
    <w:semiHidden/>
    <w:qFormat/>
    <w:pPr>
      <w:keepNext w:val="1"/>
      <w:keepLines w:val="1"/>
      <w:spacing w:before="0" w:beforeAutospacing="0" w:afterAutospacing="0"/>
      <w:outlineLvl w:val="8"/>
    </w:pPr>
    <w:rPr>
      <w:rFonts w:cstheme="majorBidi" w:eastAsiaTheme="majorEastAsia"/>
      <w:color w:val="272727" w:themeColor="text1" w:themeTint="D8"/>
    </w:rPr>
  </w:style>
  <w:style w:type="paragraph" w:styleId="P10">
    <w:name w:val="Title"/>
    <w:basedOn w:val="P0"/>
    <w:next w:val="P0"/>
    <w:link w:val="C12"/>
    <w:qFormat/>
    <w:pPr>
      <w:spacing w:before="0" w:after="80" w:beforeAutospacing="0" w:afterAutospacing="0"/>
      <w:contextualSpacing w:val="1"/>
    </w:pPr>
    <w:rPr>
      <w:rFonts w:asciiTheme="majorHAnsi" w:hAnsiTheme="majorHAnsi" w:cstheme="majorBidi" w:eastAsiaTheme="majorEastAsia"/>
      <w:sz w:val="56"/>
      <w:szCs w:val="56"/>
      <w:spacing w:val="-10"/>
      <w:kern w:val="28"/>
    </w:rPr>
  </w:style>
  <w:style w:type="paragraph" w:styleId="P11">
    <w:name w:val="Subtitle"/>
    <w:basedOn w:val="P0"/>
    <w:next w:val="P0"/>
    <w:link w:val="C13"/>
    <w:qFormat/>
    <w:pPr>
      <w:spacing w:after="160" w:beforeAutospacing="0" w:afterAutospacing="0"/>
      <w:ind w:left="1701"/>
    </w:pPr>
    <w:rPr>
      <w:rFonts w:cstheme="majorBidi" w:eastAsiaTheme="majorEastAsia"/>
      <w:color w:val="595959" w:themeColor="text1" w:themeTint="A6"/>
      <w:sz w:val="28"/>
      <w:szCs w:val="28"/>
      <w:spacing w:val="15"/>
    </w:rPr>
  </w:style>
  <w:style w:type="paragraph" w:styleId="P12">
    <w:name w:val="Quote"/>
    <w:basedOn w:val="P0"/>
    <w:next w:val="P0"/>
    <w:link w:val="C14"/>
    <w:qFormat/>
    <w:pPr>
      <w:spacing w:before="160" w:after="160" w:beforeAutospacing="0" w:afterAutospacing="0"/>
      <w:jc w:val="center"/>
    </w:pPr>
    <w:rPr>
      <w:i w:val="1"/>
      <w:iCs w:val="1"/>
      <w:color w:val="404040" w:themeColor="text1" w:themeTint="BF"/>
    </w:rPr>
  </w:style>
  <w:style w:type="paragraph" w:styleId="P13">
    <w:name w:val="List Paragraph"/>
    <w:basedOn w:val="P0"/>
    <w:qFormat/>
    <w:pPr>
      <w:ind w:left="720"/>
      <w:contextualSpacing w:val="1"/>
    </w:pPr>
    <w:rPr/>
  </w:style>
  <w:style w:type="paragraph" w:styleId="P14">
    <w:name w:val="Intense Quote"/>
    <w:basedOn w:val="P0"/>
    <w:next w:val="P0"/>
    <w:link w:val="C16"/>
    <w:qFormat/>
    <w:pPr>
      <w:pBdr>
        <w:top w:val="single" w:sz="4" w:space="10" w:shadow="0" w:frame="0" w:color="2F5496" w:themeColor="accent1" w:themeShade="BF"/>
        <w:left w:val="none" w:sz="0" w:space="0" w:shadow="0" w:frame="0" w:color="auto"/>
        <w:bottom w:val="single" w:sz="4" w:space="10" w:shadow="0" w:frame="0" w:color="2F5496" w:themeColor="accent1" w:themeShade="BF"/>
        <w:right w:val="none" w:sz="0" w:space="0" w:shadow="0" w:frame="0" w:color="auto"/>
        <w:between w:val="none" w:sz="0" w:space="0" w:shadow="0" w:frame="0" w:color="auto"/>
      </w:pBdr>
      <w:spacing w:before="360" w:after="360" w:beforeAutospacing="0" w:afterAutospacing="0"/>
      <w:ind w:left="864" w:right="864"/>
      <w:jc w:val="center"/>
    </w:pPr>
    <w:rPr>
      <w:i w:val="1"/>
      <w:iCs w:val="1"/>
      <w:color w:val="2F5496" w:themeColor="accent1" w:themeShade="BF"/>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olo 1 Carattere"/>
    <w:basedOn w:val="C0"/>
    <w:link w:val="P1"/>
    <w:rPr>
      <w:rFonts w:asciiTheme="majorHAnsi" w:hAnsiTheme="majorHAnsi" w:cstheme="majorBidi" w:eastAsiaTheme="majorEastAsia"/>
      <w:color w:val="2F5496" w:themeColor="accent1" w:themeShade="BF"/>
      <w:sz w:val="40"/>
      <w:szCs w:val="40"/>
    </w:rPr>
  </w:style>
  <w:style w:type="character" w:styleId="C4">
    <w:name w:val="Titolo 2 Carattere"/>
    <w:basedOn w:val="C0"/>
    <w:link w:val="P2"/>
    <w:rPr>
      <w:rFonts w:asciiTheme="majorHAnsi" w:hAnsiTheme="majorHAnsi" w:cstheme="majorBidi" w:eastAsiaTheme="majorEastAsia"/>
      <w:color w:val="2F5496" w:themeColor="accent1" w:themeShade="BF"/>
      <w:sz w:val="32"/>
      <w:szCs w:val="32"/>
    </w:rPr>
  </w:style>
  <w:style w:type="character" w:styleId="C5">
    <w:name w:val="Titolo 3 Carattere"/>
    <w:basedOn w:val="C0"/>
    <w:link w:val="P3"/>
    <w:semiHidden/>
    <w:rPr>
      <w:rFonts w:cstheme="majorBidi" w:eastAsiaTheme="majorEastAsia"/>
      <w:color w:val="2F5496" w:themeColor="accent1" w:themeShade="BF"/>
      <w:sz w:val="28"/>
      <w:szCs w:val="28"/>
    </w:rPr>
  </w:style>
  <w:style w:type="character" w:styleId="C6">
    <w:name w:val="Titolo 4 Carattere"/>
    <w:basedOn w:val="C0"/>
    <w:link w:val="P4"/>
    <w:semiHidden/>
    <w:rPr>
      <w:rFonts w:cstheme="majorBidi" w:eastAsiaTheme="majorEastAsia"/>
      <w:i w:val="1"/>
      <w:iCs w:val="1"/>
      <w:color w:val="2F5496" w:themeColor="accent1" w:themeShade="BF"/>
    </w:rPr>
  </w:style>
  <w:style w:type="character" w:styleId="C7">
    <w:name w:val="Titolo 5 Carattere"/>
    <w:basedOn w:val="C0"/>
    <w:link w:val="P5"/>
    <w:semiHidden/>
    <w:rPr>
      <w:rFonts w:cstheme="majorBidi" w:eastAsiaTheme="majorEastAsia"/>
      <w:color w:val="2F5496" w:themeColor="accent1" w:themeShade="BF"/>
    </w:rPr>
  </w:style>
  <w:style w:type="character" w:styleId="C8">
    <w:name w:val="Titolo 6 Carattere"/>
    <w:basedOn w:val="C0"/>
    <w:link w:val="P6"/>
    <w:semiHidden/>
    <w:rPr>
      <w:rFonts w:cstheme="majorBidi" w:eastAsiaTheme="majorEastAsia"/>
      <w:i w:val="1"/>
      <w:iCs w:val="1"/>
      <w:color w:val="595959" w:themeColor="text1" w:themeTint="A6"/>
    </w:rPr>
  </w:style>
  <w:style w:type="character" w:styleId="C9">
    <w:name w:val="Titolo 7 Carattere"/>
    <w:basedOn w:val="C0"/>
    <w:link w:val="P7"/>
    <w:semiHidden/>
    <w:rPr>
      <w:rFonts w:cstheme="majorBidi" w:eastAsiaTheme="majorEastAsia"/>
      <w:color w:val="595959" w:themeColor="text1" w:themeTint="A6"/>
    </w:rPr>
  </w:style>
  <w:style w:type="character" w:styleId="C10">
    <w:name w:val="Titolo 8 Carattere"/>
    <w:basedOn w:val="C0"/>
    <w:link w:val="P8"/>
    <w:semiHidden/>
    <w:rPr>
      <w:rFonts w:cstheme="majorBidi" w:eastAsiaTheme="majorEastAsia"/>
      <w:i w:val="1"/>
      <w:iCs w:val="1"/>
      <w:color w:val="272727" w:themeColor="text1" w:themeTint="D8"/>
    </w:rPr>
  </w:style>
  <w:style w:type="character" w:styleId="C11">
    <w:name w:val="Titolo 9 Carattere"/>
    <w:basedOn w:val="C0"/>
    <w:link w:val="P9"/>
    <w:semiHidden/>
    <w:rPr>
      <w:rFonts w:cstheme="majorBidi" w:eastAsiaTheme="majorEastAsia"/>
      <w:color w:val="272727" w:themeColor="text1" w:themeTint="D8"/>
    </w:rPr>
  </w:style>
  <w:style w:type="character" w:styleId="C12">
    <w:name w:val="Titolo Carattere"/>
    <w:basedOn w:val="C0"/>
    <w:link w:val="P10"/>
    <w:rPr>
      <w:rFonts w:asciiTheme="majorHAnsi" w:hAnsiTheme="majorHAnsi" w:cstheme="majorBidi" w:eastAsiaTheme="majorEastAsia"/>
      <w:sz w:val="56"/>
      <w:szCs w:val="56"/>
      <w:spacing w:val="-10"/>
      <w:kern w:val="28"/>
    </w:rPr>
  </w:style>
  <w:style w:type="character" w:styleId="C13">
    <w:name w:val="Sottotitolo Carattere"/>
    <w:basedOn w:val="C0"/>
    <w:link w:val="P11"/>
    <w:rPr>
      <w:rFonts w:cstheme="majorBidi" w:eastAsiaTheme="majorEastAsia"/>
      <w:color w:val="595959" w:themeColor="text1" w:themeTint="A6"/>
      <w:sz w:val="28"/>
      <w:szCs w:val="28"/>
      <w:spacing w:val="15"/>
    </w:rPr>
  </w:style>
  <w:style w:type="character" w:styleId="C14">
    <w:name w:val="Citazione Carattere"/>
    <w:basedOn w:val="C0"/>
    <w:link w:val="P12"/>
    <w:rPr>
      <w:i w:val="1"/>
      <w:iCs w:val="1"/>
      <w:color w:val="404040" w:themeColor="text1" w:themeTint="BF"/>
    </w:rPr>
  </w:style>
  <w:style w:type="character" w:styleId="C15">
    <w:name w:val="Intense Emphasis"/>
    <w:basedOn w:val="C0"/>
    <w:qFormat/>
    <w:rPr>
      <w:i w:val="1"/>
      <w:iCs w:val="1"/>
      <w:color w:val="2F5496" w:themeColor="accent1" w:themeShade="BF"/>
    </w:rPr>
  </w:style>
  <w:style w:type="character" w:styleId="C16">
    <w:name w:val="Citazione intensa Carattere"/>
    <w:basedOn w:val="C0"/>
    <w:link w:val="P14"/>
    <w:rPr>
      <w:i w:val="1"/>
      <w:iCs w:val="1"/>
      <w:color w:val="2F5496" w:themeColor="accent1" w:themeShade="BF"/>
    </w:rPr>
  </w:style>
  <w:style w:type="character" w:styleId="C17">
    <w:name w:val="Intense Reference1"/>
    <w:basedOn w:val="C0"/>
    <w:qFormat/>
    <w:rPr>
      <w:b w:val="1"/>
      <w:bCs w:val="1"/>
      <w:smallCaps w:val="1"/>
      <w:color w:val="2F5496" w:themeColor="accent1" w:themeShade="BF"/>
      <w:spacing w:val="5"/>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docProps/app.xml><?xml version="1.0" encoding="utf-8"?>
<Properties xmlns="http://schemas.openxmlformats.org/officeDocument/2006/extended-properties">
  <Application>DevExpress Office File API/22.1.4.0</Application>
  <AppVersion>22.1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Daniele Ferlito</dc:creator>
  <dcterms:created xsi:type="dcterms:W3CDTF">2026-01-17T10:21:00Z</dcterms:created>
  <dcterms:modified xsi:type="dcterms:W3CDTF">2026-01-19T08:52:36Z</dcterms:modified>
  <cp:revision>34</cp:revision>
</cp:coreProperties>
</file>