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pStyle w:val="P1"/>
        <w:ind w:left="1134" w:right="1133"/>
        <w:jc w:val="center"/>
      </w:pPr>
      <w:r>
        <w:t>LA NORMA GIURIDICA E L’ORDINAMENTO GIURIDICO</w:t>
      </w:r>
    </w:p>
    <w:p>
      <w:pPr>
        <w:ind w:left="1134" w:right="1133"/>
        <w:jc w:val="center"/>
        <w:rPr>
          <w:rFonts w:ascii="Times New Roman" w:hAnsi="Times New Roman" w:cs="Times New Roman"/>
          <w:b w:val="1"/>
          <w:bCs w:val="1"/>
          <w:sz w:val="28"/>
          <w:szCs w:val="28"/>
        </w:rPr>
      </w:pPr>
    </w:p>
    <w:p>
      <w:pPr>
        <w:ind w:left="0" w:right="-1"/>
        <w:jc w:val="both"/>
        <w:rPr>
          <w:rFonts w:ascii="Times New Roman" w:hAnsi="Times New Roman" w:cs="Times New Roman"/>
          <w:sz w:val="32"/>
          <w:szCs w:val="32"/>
        </w:rPr>
      </w:pPr>
      <w:r>
        <w:rPr>
          <w:rFonts w:ascii="Times New Roman" w:hAnsi="Times New Roman" w:cs="Times New Roman"/>
          <w:sz w:val="32"/>
          <w:szCs w:val="32"/>
        </w:rPr>
        <w:t xml:space="preserve">La </w:t>
      </w:r>
      <w:r>
        <w:rPr>
          <w:rFonts w:ascii="Times New Roman" w:hAnsi="Times New Roman" w:cs="Times New Roman"/>
          <w:b w:val="1"/>
          <w:bCs w:val="1"/>
          <w:sz w:val="32"/>
          <w:szCs w:val="32"/>
        </w:rPr>
        <w:t>norma giuridica</w:t>
      </w:r>
      <w:r>
        <w:rPr>
          <w:rFonts w:ascii="Times New Roman" w:hAnsi="Times New Roman" w:cs="Times New Roman"/>
          <w:sz w:val="32"/>
          <w:szCs w:val="32"/>
        </w:rPr>
        <w:t xml:space="preserve"> rappresenta il fondamento dell’ordinamento giuridico, ossia </w:t>
      </w:r>
      <w:r>
        <w:rPr>
          <w:rFonts w:ascii="Times New Roman" w:hAnsi="Times New Roman" w:cs="Times New Roman"/>
          <w:i w:val="1"/>
          <w:iCs w:val="1"/>
          <w:sz w:val="32"/>
          <w:szCs w:val="32"/>
        </w:rPr>
        <w:t>la regola di condotta imposta da un’autorità competente con lo scopo di disciplinare i comportamenti dei membri di una comunità</w:t>
      </w:r>
      <w:r>
        <w:rPr>
          <w:rFonts w:ascii="Times New Roman" w:hAnsi="Times New Roman" w:cs="Times New Roman"/>
          <w:sz w:val="32"/>
          <w:szCs w:val="32"/>
        </w:rPr>
        <w:t xml:space="preserve">. Essa si distingue dalle altre norme sociali per il fatto di essere dotata di </w:t>
      </w:r>
      <w:r>
        <w:rPr>
          <w:rFonts w:ascii="Times New Roman" w:hAnsi="Times New Roman" w:cs="Times New Roman"/>
          <w:b w:val="1"/>
          <w:bCs w:val="1"/>
          <w:sz w:val="32"/>
          <w:szCs w:val="32"/>
          <w:rtl w:val="0"/>
          <w:lang w:val="it-IT" w:bidi="it-IT" w:eastAsia="it-IT"/>
        </w:rPr>
        <w:t>imperativit</w:t>
      </w:r>
      <w:r>
        <w:rPr>
          <w:rFonts w:ascii="Times New Roman" w:hAnsi="Times New Roman" w:cs="Times New Roman"/>
          <w:b w:val="1"/>
          <w:bCs w:val="1"/>
          <w:sz w:val="32"/>
          <w:szCs w:val="32"/>
        </w:rPr>
        <w:t>à</w:t>
      </w:r>
      <w:r>
        <w:rPr>
          <w:rFonts w:ascii="Times New Roman" w:hAnsi="Times New Roman" w:cs="Times New Roman"/>
          <w:sz w:val="32"/>
          <w:szCs w:val="32"/>
        </w:rPr>
        <w:t xml:space="preserve">: il suo rispetto è garantito dalla possibilità di applicare </w:t>
      </w:r>
      <w:r>
        <w:rPr>
          <w:rFonts w:ascii="Times New Roman" w:hAnsi="Times New Roman" w:cs="Times New Roman"/>
          <w:b w:val="1"/>
          <w:bCs w:val="1"/>
          <w:sz w:val="32"/>
          <w:szCs w:val="32"/>
        </w:rPr>
        <w:t xml:space="preserve">sanzioni </w:t>
      </w:r>
      <w:r>
        <w:rPr>
          <w:rFonts w:ascii="Times New Roman" w:hAnsi="Times New Roman" w:cs="Times New Roman"/>
          <w:sz w:val="32"/>
          <w:szCs w:val="32"/>
        </w:rPr>
        <w:t>in caso di violazione. In sostanza, la norma giuridica indica ciò che è lecito e ciò che è illecito, contribuendo così alla tutela dell’ordine sociale e della giustizia.</w:t>
      </w:r>
    </w:p>
    <w:p>
      <w:pPr>
        <w:spacing w:before="0" w:beforeAutospacing="0" w:afterAutospacing="0"/>
        <w:ind w:left="0" w:right="-1"/>
        <w:jc w:val="both"/>
        <w:rPr>
          <w:rFonts w:ascii="Times New Roman" w:hAnsi="Times New Roman" w:cs="Times New Roman"/>
          <w:sz w:val="32"/>
          <w:szCs w:val="32"/>
          <w:rtl w:val="0"/>
          <w:lang w:val="it-IT" w:bidi="it-IT" w:eastAsia="it-IT"/>
        </w:rPr>
      </w:pPr>
      <w:r>
        <w:rPr>
          <w:rFonts w:ascii="Times New Roman" w:hAnsi="Times New Roman" w:cs="Times New Roman"/>
          <w:sz w:val="32"/>
          <w:szCs w:val="32"/>
          <w:rtl w:val="0"/>
          <w:lang w:val="it-IT" w:bidi="it-IT" w:eastAsia="it-IT"/>
        </w:rPr>
        <w:t>Inolt</w:t>
      </w:r>
      <w:r>
        <w:rPr>
          <w:rFonts w:ascii="Times New Roman" w:hAnsi="Times New Roman" w:cs="Times New Roman"/>
          <w:sz w:val="32"/>
          <w:szCs w:val="32"/>
          <w:rtl w:val="0"/>
          <w:lang w:val="it-IT" w:bidi="it-IT" w:eastAsia="it-IT"/>
        </w:rPr>
        <w:t>re, l</w:t>
      </w:r>
      <w:r>
        <w:rPr>
          <w:rFonts w:ascii="Times New Roman" w:hAnsi="Times New Roman" w:cs="Times New Roman"/>
          <w:sz w:val="32"/>
          <w:szCs w:val="32"/>
          <w:rtl w:val="0"/>
          <w:lang w:val="it-IT" w:bidi="it-IT" w:eastAsia="it-IT"/>
        </w:rPr>
        <w:t>e</w:t>
      </w:r>
      <w:r>
        <w:rPr>
          <w:rFonts w:ascii="Times New Roman" w:hAnsi="Times New Roman" w:cs="Times New Roman"/>
          <w:sz w:val="32"/>
          <w:szCs w:val="32"/>
        </w:rPr>
        <w:t xml:space="preserve"> norme giuridiche </w:t>
      </w:r>
      <w:r>
        <w:rPr>
          <w:rFonts w:ascii="Times New Roman" w:hAnsi="Times New Roman" w:cs="Times New Roman"/>
          <w:sz w:val="32"/>
          <w:szCs w:val="32"/>
          <w:rtl w:val="0"/>
          <w:lang w:val="it-IT" w:bidi="it-IT" w:eastAsia="it-IT"/>
        </w:rPr>
        <w:t xml:space="preserve">generalmente </w:t>
      </w:r>
      <w:r>
        <w:rPr>
          <w:rFonts w:ascii="Times New Roman" w:hAnsi="Times New Roman" w:cs="Times New Roman"/>
          <w:sz w:val="32"/>
          <w:szCs w:val="32"/>
        </w:rPr>
        <w:t>possono esser</w:t>
      </w:r>
      <w:r>
        <w:rPr>
          <w:rFonts w:ascii="Times New Roman" w:hAnsi="Times New Roman" w:cs="Times New Roman"/>
          <w:sz w:val="32"/>
          <w:szCs w:val="32"/>
          <w:rtl w:val="0"/>
          <w:lang w:val="it-IT" w:bidi="it-IT" w:eastAsia="it-IT"/>
        </w:rPr>
        <w:t>e</w:t>
      </w:r>
      <w:r>
        <w:rPr>
          <w:rFonts w:ascii="Times New Roman" w:hAnsi="Times New Roman" w:cs="Times New Roman"/>
          <w:sz w:val="32"/>
          <w:szCs w:val="32"/>
          <w:rtl w:val="0"/>
          <w:lang w:val="it-IT" w:bidi="it-IT" w:eastAsia="it-IT"/>
        </w:rPr>
        <w:t xml:space="preserve"> </w:t>
      </w:r>
      <w:r>
        <w:rPr>
          <w:rFonts w:ascii="Times New Roman" w:hAnsi="Times New Roman" w:cs="Times New Roman"/>
          <w:b w:val="1"/>
          <w:bCs w:val="1"/>
          <w:sz w:val="32"/>
          <w:szCs w:val="32"/>
        </w:rPr>
        <w:t>generali</w:t>
      </w:r>
      <w:r>
        <w:rPr>
          <w:rFonts w:ascii="Times New Roman" w:hAnsi="Times New Roman" w:cs="Times New Roman"/>
          <w:b w:val="0"/>
          <w:bCs w:val="1"/>
          <w:noProof w:val="0"/>
          <w:sz w:val="32"/>
          <w:szCs w:val="32"/>
          <w:rtl w:val="0"/>
          <w:cs w:val="0"/>
          <w:lang w:val="it-IT" w:bidi="it-IT" w:eastAsia="it-IT"/>
        </w:rPr>
        <w:t>, in quanto indirizzano il precetto non specificamente ad un singolo individuo</w:t>
      </w:r>
      <w:r>
        <w:rPr>
          <w:rFonts w:ascii="Times New Roman" w:hAnsi="Times New Roman" w:cs="Times New Roman"/>
          <w:b w:val="0"/>
          <w:bCs w:val="1"/>
          <w:noProof w:val="0"/>
          <w:sz w:val="32"/>
          <w:szCs w:val="32"/>
          <w:rtl w:val="0"/>
          <w:cs w:val="0"/>
          <w:lang w:val="it-IT" w:bidi="it-IT" w:eastAsia="it-IT"/>
        </w:rPr>
        <w:t>, ma a tutti i consociati</w:t>
      </w:r>
      <w:r>
        <w:rPr>
          <w:rFonts w:ascii="Times New Roman" w:hAnsi="Times New Roman" w:cs="Times New Roman"/>
          <w:sz w:val="32"/>
          <w:szCs w:val="32"/>
        </w:rPr>
        <w:t xml:space="preserve">, </w:t>
      </w:r>
      <w:r>
        <w:rPr>
          <w:rFonts w:ascii="Times New Roman" w:hAnsi="Times New Roman" w:cs="Times New Roman"/>
          <w:b w:val="0"/>
          <w:bCs w:val="1"/>
          <w:noProof w:val="0"/>
          <w:sz w:val="32"/>
          <w:szCs w:val="32"/>
          <w:rtl w:val="0"/>
          <w:cs w:val="0"/>
          <w:lang w:val="it-IT" w:bidi="it-IT" w:eastAsia="it-IT"/>
        </w:rPr>
        <w:t>ed</w:t>
      </w:r>
      <w:r>
        <w:rPr>
          <w:rFonts w:ascii="Times New Roman" w:hAnsi="Times New Roman" w:cs="Times New Roman"/>
          <w:b w:val="1"/>
          <w:bCs w:val="1"/>
          <w:sz w:val="32"/>
          <w:szCs w:val="32"/>
          <w:rtl w:val="0"/>
          <w:lang w:val="it-IT" w:bidi="it-IT" w:eastAsia="it-IT"/>
        </w:rPr>
        <w:t xml:space="preserve"> astratte</w:t>
      </w:r>
      <w:r>
        <w:rPr>
          <w:rFonts w:ascii="Times New Roman" w:hAnsi="Times New Roman" w:cs="Times New Roman"/>
          <w:sz w:val="32"/>
          <w:szCs w:val="32"/>
        </w:rPr>
        <w:t>,</w:t>
      </w:r>
      <w:r>
        <w:rPr>
          <w:rFonts w:ascii="Times New Roman" w:hAnsi="Times New Roman" w:cs="Times New Roman"/>
          <w:sz w:val="32"/>
          <w:szCs w:val="32"/>
          <w:rtl w:val="0"/>
          <w:lang w:val="it-IT" w:bidi="it-IT" w:eastAsia="it-IT"/>
        </w:rPr>
        <w:t xml:space="preserve"> </w:t>
      </w:r>
      <w:r>
        <w:rPr>
          <w:rFonts w:ascii="Times New Roman" w:hAnsi="Times New Roman" w:cs="Times New Roman"/>
          <w:sz w:val="32"/>
          <w:szCs w:val="32"/>
          <w:rtl w:val="0"/>
          <w:lang w:val="it-IT" w:bidi="it-IT" w:eastAsia="it-IT"/>
        </w:rPr>
        <w:t>poiché non destinate a disciplinare</w:t>
      </w:r>
      <w:r>
        <w:rPr>
          <w:rFonts w:ascii="Times New Roman" w:hAnsi="Times New Roman" w:cs="Times New Roman"/>
          <w:sz w:val="32"/>
          <w:szCs w:val="32"/>
          <w:rtl w:val="0"/>
          <w:lang w:val="it-IT" w:bidi="it-IT" w:eastAsia="it-IT"/>
        </w:rPr>
        <w:t xml:space="preserve"> </w:t>
      </w:r>
      <w:r>
        <w:rPr>
          <w:rFonts w:ascii="Times New Roman" w:hAnsi="Times New Roman" w:cs="Times New Roman"/>
          <w:sz w:val="32"/>
          <w:szCs w:val="32"/>
          <w:rtl w:val="0"/>
          <w:lang w:val="it-IT" w:bidi="it-IT" w:eastAsia="it-IT"/>
        </w:rPr>
        <w:t>questo o quel rapporto concreto, bensì tutti i rappor</w:t>
      </w:r>
      <w:r>
        <w:rPr>
          <w:rFonts w:ascii="Times New Roman" w:hAnsi="Times New Roman" w:cs="Times New Roman"/>
          <w:sz w:val="32"/>
          <w:szCs w:val="32"/>
          <w:rtl w:val="0"/>
          <w:lang w:val="it-IT" w:bidi="it-IT" w:eastAsia="it-IT"/>
        </w:rPr>
        <w:t>ti e le situazioni suscettibili di rientrare in un modello prefigurato.</w:t>
      </w:r>
    </w:p>
    <w:p>
      <w:pPr>
        <w:spacing w:before="0" w:beforeAutospacing="0" w:afterAutospacing="0"/>
        <w:ind w:left="0" w:right="-1"/>
        <w:jc w:val="both"/>
        <w:rPr>
          <w:rFonts w:ascii="Times New Roman" w:hAnsi="Times New Roman" w:cs="Times New Roman"/>
          <w:b w:val="1"/>
          <w:bCs w:val="1"/>
          <w:sz w:val="32"/>
          <w:szCs w:val="32"/>
        </w:rPr>
      </w:pPr>
      <w:r>
        <w:rPr>
          <w:rFonts w:ascii="Times New Roman" w:hAnsi="Times New Roman" w:cs="Times New Roman"/>
          <w:sz w:val="32"/>
          <w:szCs w:val="32"/>
          <w:rtl w:val="0"/>
          <w:lang w:val="it-IT" w:bidi="it-IT" w:eastAsia="it-IT"/>
        </w:rPr>
        <w:t>Queste</w:t>
      </w:r>
      <w:r>
        <w:rPr>
          <w:rFonts w:ascii="Times New Roman" w:hAnsi="Times New Roman" w:cs="Times New Roman"/>
          <w:sz w:val="32"/>
          <w:szCs w:val="32"/>
        </w:rPr>
        <w:t xml:space="preserve"> trovano espressione nelle </w:t>
      </w:r>
      <w:r>
        <w:rPr>
          <w:rFonts w:ascii="Times New Roman" w:hAnsi="Times New Roman" w:cs="Times New Roman"/>
          <w:b w:val="1"/>
          <w:bCs w:val="1"/>
          <w:sz w:val="32"/>
          <w:szCs w:val="32"/>
        </w:rPr>
        <w:t>fonti del diritto</w:t>
      </w:r>
      <w:r>
        <w:rPr>
          <w:rFonts w:ascii="Times New Roman" w:hAnsi="Times New Roman" w:cs="Times New Roman"/>
          <w:sz w:val="32"/>
          <w:szCs w:val="32"/>
        </w:rPr>
        <w:t xml:space="preserve">, come la Costituzione, le leggi, i regolamenti e le consuetudini che si articolano all’interno di un </w:t>
      </w:r>
      <w:r>
        <w:rPr>
          <w:rFonts w:ascii="Times New Roman" w:hAnsi="Times New Roman" w:cs="Times New Roman"/>
          <w:b w:val="1"/>
          <w:bCs w:val="1"/>
          <w:sz w:val="32"/>
          <w:szCs w:val="32"/>
        </w:rPr>
        <w:t>sistema gerarchico</w:t>
      </w:r>
      <w:r>
        <w:rPr>
          <w:rFonts w:ascii="Times New Roman" w:hAnsi="Times New Roman" w:cs="Times New Roman"/>
          <w:sz w:val="32"/>
          <w:szCs w:val="32"/>
        </w:rPr>
        <w:t xml:space="preserve">. Attraverso la loro applicazione, si garantisce la certezza del diritto e la protezione dei diritti e dei doveri dei cittadini. In mancanza di regole di tal genere verrebbe meno la possibilità di instaurare rapporti fra gli uomini e, tanto più, la possibilità di creare una qualsiasi forma di organizzazione sociale. Il carattere della </w:t>
      </w:r>
      <w:r>
        <w:rPr>
          <w:rFonts w:ascii="Times New Roman" w:hAnsi="Times New Roman" w:cs="Times New Roman"/>
          <w:b w:val="1"/>
          <w:bCs w:val="1"/>
          <w:sz w:val="32"/>
          <w:szCs w:val="32"/>
        </w:rPr>
        <w:t>relazionalità</w:t>
      </w:r>
      <w:r>
        <w:rPr>
          <w:rFonts w:ascii="Times New Roman" w:hAnsi="Times New Roman" w:cs="Times New Roman"/>
          <w:sz w:val="32"/>
          <w:szCs w:val="32"/>
        </w:rPr>
        <w:t>, di conseguenza, ci porta inevitabilmente al fenomeno del «</w:t>
      </w:r>
      <w:r>
        <w:rPr>
          <w:rFonts w:ascii="Times New Roman" w:hAnsi="Times New Roman" w:cs="Times New Roman"/>
          <w:i w:val="1"/>
          <w:iCs w:val="1"/>
          <w:sz w:val="32"/>
          <w:szCs w:val="32"/>
        </w:rPr>
        <w:t>diritto</w:t>
      </w:r>
      <w:r>
        <w:rPr>
          <w:rFonts w:ascii="Times New Roman" w:hAnsi="Times New Roman" w:cs="Times New Roman"/>
          <w:sz w:val="32"/>
          <w:szCs w:val="32"/>
        </w:rPr>
        <w:t xml:space="preserve">», inteso come </w:t>
      </w:r>
      <w:r>
        <w:rPr>
          <w:rFonts w:ascii="Times New Roman" w:hAnsi="Times New Roman" w:cs="Times New Roman"/>
          <w:i w:val="1"/>
          <w:iCs w:val="1"/>
          <w:sz w:val="32"/>
          <w:szCs w:val="32"/>
        </w:rPr>
        <w:t>l’insieme delle regole di condotta e di organizzazione di una collettività umana</w:t>
      </w:r>
      <w:r>
        <w:rPr>
          <w:rFonts w:ascii="Times New Roman" w:hAnsi="Times New Roman" w:cs="Times New Roman"/>
          <w:b w:val="1"/>
          <w:bCs w:val="1"/>
          <w:sz w:val="32"/>
          <w:szCs w:val="32"/>
        </w:rPr>
        <w:t xml:space="preserve">. </w:t>
      </w:r>
    </w:p>
    <w:p>
      <w:pPr>
        <w:spacing w:before="0" w:beforeAutospacing="0" w:afterAutospacing="0"/>
        <w:ind w:left="0" w:right="-1"/>
        <w:jc w:val="both"/>
        <w:rPr>
          <w:rFonts w:ascii="Times New Roman" w:hAnsi="Times New Roman" w:cs="Times New Roman"/>
          <w:sz w:val="32"/>
          <w:szCs w:val="32"/>
        </w:rPr>
      </w:pPr>
      <w:r>
        <w:rPr>
          <w:rFonts w:ascii="Times New Roman" w:hAnsi="Times New Roman" w:cs="Times New Roman"/>
          <w:sz w:val="32"/>
          <w:szCs w:val="32"/>
        </w:rPr>
        <w:t xml:space="preserve">Tornando alle norme giuridiche, dobbiamo tenere conto che non tutte le regole, che rendono possibile un’ordinata convivenza, sono anche “norme giuridiche”. Da quest’ultime bisogna, infatti, distinguere altre norme che sono estranee alla sfera del diritto, in quanto appartenenti ad ambiti diversi, (es. cedere il posto agli anziani rientra tra le semplici regole di cortesia) come quello religioso o morale. In poche parole, costituiscono regole giuridiche soltanto quei comportamenti che ciascuna società, in modo variabile nel tempo e nello spazio, ritiene </w:t>
      </w:r>
      <w:r>
        <w:rPr>
          <w:rFonts w:ascii="Times New Roman" w:hAnsi="Times New Roman" w:cs="Times New Roman"/>
          <w:i w:val="1"/>
          <w:iCs w:val="1"/>
          <w:sz w:val="32"/>
          <w:szCs w:val="32"/>
        </w:rPr>
        <w:t>essenziali per il perseguimento dei propri fini.</w:t>
      </w:r>
      <w:r>
        <w:rPr>
          <w:rFonts w:ascii="Times New Roman" w:hAnsi="Times New Roman" w:cs="Times New Roman"/>
          <w:b w:val="1"/>
          <w:bCs w:val="1"/>
          <w:sz w:val="32"/>
          <w:szCs w:val="32"/>
        </w:rPr>
        <w:t xml:space="preserve"> </w:t>
      </w:r>
      <w:r>
        <w:rPr>
          <w:rFonts w:ascii="Times New Roman" w:hAnsi="Times New Roman" w:cs="Times New Roman"/>
          <w:sz w:val="32"/>
          <w:szCs w:val="32"/>
        </w:rPr>
        <w:t xml:space="preserve">Tra queste stesse norme di diversa natura può configurarsi anche una </w:t>
      </w:r>
      <w:r>
        <w:rPr>
          <w:rFonts w:ascii="Times New Roman" w:hAnsi="Times New Roman" w:cs="Times New Roman"/>
          <w:b w:val="1"/>
          <w:bCs w:val="1"/>
          <w:sz w:val="32"/>
          <w:szCs w:val="32"/>
        </w:rPr>
        <w:t>coincidenza</w:t>
      </w:r>
      <w:r>
        <w:rPr>
          <w:rFonts w:ascii="Times New Roman" w:hAnsi="Times New Roman" w:cs="Times New Roman"/>
          <w:sz w:val="32"/>
          <w:szCs w:val="32"/>
        </w:rPr>
        <w:t xml:space="preserve"> di valutazioni come, per esempio, nel precetto del “non uccidere” vi è una derivazione allo stesso tempo morale, religiosa e giuridica. In altri casi vi è </w:t>
      </w:r>
      <w:r>
        <w:rPr>
          <w:rFonts w:ascii="Times New Roman" w:hAnsi="Times New Roman" w:cs="Times New Roman"/>
          <w:b w:val="1"/>
          <w:bCs w:val="1"/>
          <w:sz w:val="32"/>
          <w:szCs w:val="32"/>
        </w:rPr>
        <w:t xml:space="preserve">indifferenza </w:t>
      </w:r>
      <w:r>
        <w:rPr>
          <w:rFonts w:ascii="Times New Roman" w:hAnsi="Times New Roman" w:cs="Times New Roman"/>
          <w:sz w:val="32"/>
          <w:szCs w:val="32"/>
        </w:rPr>
        <w:t xml:space="preserve">reciproca: le regole di cortesia oppure le relazioni sociali, fondamentali nella sfera umana e del tutto irrilevanti sul piano giuridico. Ma, infine, può aversi anche un </w:t>
      </w:r>
      <w:r>
        <w:rPr>
          <w:rFonts w:ascii="Times New Roman" w:hAnsi="Times New Roman" w:cs="Times New Roman"/>
          <w:b w:val="1"/>
          <w:bCs w:val="1"/>
          <w:sz w:val="32"/>
          <w:szCs w:val="32"/>
        </w:rPr>
        <w:t>conflitto</w:t>
      </w:r>
      <w:r>
        <w:rPr>
          <w:rFonts w:ascii="Times New Roman" w:hAnsi="Times New Roman" w:cs="Times New Roman"/>
          <w:sz w:val="32"/>
          <w:szCs w:val="32"/>
        </w:rPr>
        <w:t>, come nel caso di rifiuto di trasfusioni di sangue per motivi religiosi.</w:t>
      </w:r>
    </w:p>
    <w:p>
      <w:pPr>
        <w:ind w:left="0" w:right="-1"/>
        <w:jc w:val="both"/>
        <w:rPr>
          <w:rFonts w:ascii="Times New Roman" w:hAnsi="Times New Roman" w:cs="Times New Roman"/>
          <w:sz w:val="32"/>
          <w:szCs w:val="32"/>
        </w:rPr>
      </w:pPr>
      <w:r>
        <w:rPr>
          <w:rFonts w:ascii="Times New Roman" w:hAnsi="Times New Roman" w:cs="Times New Roman"/>
          <w:sz w:val="32"/>
          <w:szCs w:val="32"/>
        </w:rPr>
        <w:t xml:space="preserve">Tuttavia, nonostante le regole giuridiche e morali non si identificano le une con le altre, sarebbe erroneo parlare di separatezza reciproca, poiché le regole etiche condizionano l’intero ordinamento giuridico, che sostanzialmente non potrebbe sopravvivere senza di esse. </w:t>
      </w:r>
    </w:p>
    <w:p>
      <w:pPr>
        <w:spacing w:before="0" w:beforeAutospacing="0" w:afterAutospacing="0"/>
        <w:ind w:left="0" w:right="-1"/>
        <w:jc w:val="both"/>
        <w:rPr>
          <w:rFonts w:ascii="Times New Roman" w:hAnsi="Times New Roman" w:cs="Times New Roman"/>
          <w:sz w:val="32"/>
          <w:szCs w:val="32"/>
        </w:rPr>
      </w:pPr>
      <w:r>
        <w:rPr>
          <w:rFonts w:ascii="Times New Roman" w:hAnsi="Times New Roman" w:cs="Times New Roman"/>
          <w:sz w:val="32"/>
          <w:szCs w:val="32"/>
        </w:rPr>
        <w:t xml:space="preserve">Come abbiamo già detto in precedenza, ciò che caratterizza la norma giuridica è la presenza di una sanzione, cioè di una conseguenza negativa, nel caso di inosservanza prevista per il caso di violazione delle norme stesse. Infatti, una cosa è la semplice </w:t>
      </w:r>
      <w:r>
        <w:rPr>
          <w:rFonts w:ascii="Times New Roman" w:hAnsi="Times New Roman" w:cs="Times New Roman"/>
          <w:i w:val="1"/>
          <w:iCs w:val="1"/>
          <w:sz w:val="32"/>
          <w:szCs w:val="32"/>
        </w:rPr>
        <w:t>riprovazione sociale</w:t>
      </w:r>
      <w:r>
        <w:rPr>
          <w:rFonts w:ascii="Times New Roman" w:hAnsi="Times New Roman" w:cs="Times New Roman"/>
          <w:sz w:val="32"/>
          <w:szCs w:val="32"/>
        </w:rPr>
        <w:t xml:space="preserve"> per chi spettegola sul conto altrui, altro è la </w:t>
      </w:r>
      <w:r>
        <w:rPr>
          <w:rFonts w:ascii="Times New Roman" w:hAnsi="Times New Roman" w:cs="Times New Roman"/>
          <w:i w:val="1"/>
          <w:iCs w:val="1"/>
          <w:sz w:val="32"/>
          <w:szCs w:val="32"/>
        </w:rPr>
        <w:t>condanna penale</w:t>
      </w:r>
      <w:r>
        <w:rPr>
          <w:rFonts w:ascii="Times New Roman" w:hAnsi="Times New Roman" w:cs="Times New Roman"/>
          <w:sz w:val="32"/>
          <w:szCs w:val="32"/>
        </w:rPr>
        <w:t xml:space="preserve"> per diffamazione e la relativa </w:t>
      </w:r>
      <w:r>
        <w:rPr>
          <w:rFonts w:ascii="Times New Roman" w:hAnsi="Times New Roman" w:cs="Times New Roman"/>
          <w:i w:val="1"/>
          <w:iCs w:val="1"/>
          <w:sz w:val="32"/>
          <w:szCs w:val="32"/>
        </w:rPr>
        <w:t>condanna civile</w:t>
      </w:r>
      <w:r>
        <w:rPr>
          <w:rFonts w:ascii="Times New Roman" w:hAnsi="Times New Roman" w:cs="Times New Roman"/>
          <w:sz w:val="32"/>
          <w:szCs w:val="32"/>
        </w:rPr>
        <w:t xml:space="preserve"> al risarcimento dei danni. Altro elemento di distinzione sta nel fatto che, mentre la riprovazione sociale è soltanto </w:t>
      </w:r>
      <w:r>
        <w:rPr>
          <w:rFonts w:ascii="Times New Roman" w:hAnsi="Times New Roman" w:cs="Times New Roman"/>
          <w:i w:val="1"/>
          <w:iCs w:val="1"/>
          <w:sz w:val="32"/>
          <w:szCs w:val="32"/>
        </w:rPr>
        <w:t xml:space="preserve">possibile </w:t>
      </w:r>
      <w:r>
        <w:rPr>
          <w:rFonts w:ascii="Times New Roman" w:hAnsi="Times New Roman" w:cs="Times New Roman"/>
          <w:sz w:val="32"/>
          <w:szCs w:val="32"/>
        </w:rPr>
        <w:t xml:space="preserve">e </w:t>
      </w:r>
      <w:r>
        <w:rPr>
          <w:rFonts w:ascii="Times New Roman" w:hAnsi="Times New Roman" w:cs="Times New Roman"/>
          <w:i w:val="1"/>
          <w:iCs w:val="1"/>
          <w:sz w:val="32"/>
          <w:szCs w:val="32"/>
        </w:rPr>
        <w:t>indeterminata</w:t>
      </w:r>
      <w:r>
        <w:rPr>
          <w:rFonts w:ascii="Times New Roman" w:hAnsi="Times New Roman" w:cs="Times New Roman"/>
          <w:sz w:val="32"/>
          <w:szCs w:val="32"/>
        </w:rPr>
        <w:t xml:space="preserve"> nella sua portata</w:t>
      </w:r>
      <w:r>
        <w:rPr>
          <w:rFonts w:ascii="Times New Roman" w:hAnsi="Times New Roman" w:cs="Times New Roman"/>
          <w:i w:val="1"/>
          <w:iCs w:val="1"/>
          <w:sz w:val="32"/>
          <w:szCs w:val="32"/>
        </w:rPr>
        <w:t>,</w:t>
      </w:r>
      <w:r>
        <w:rPr>
          <w:rFonts w:ascii="Times New Roman" w:hAnsi="Times New Roman" w:cs="Times New Roman"/>
          <w:sz w:val="32"/>
          <w:szCs w:val="32"/>
        </w:rPr>
        <w:t xml:space="preserve"> la sanzione giuridica deve essere </w:t>
      </w:r>
      <w:r>
        <w:rPr>
          <w:rFonts w:ascii="Times New Roman" w:hAnsi="Times New Roman" w:cs="Times New Roman"/>
          <w:b w:val="1"/>
          <w:bCs w:val="1"/>
          <w:sz w:val="32"/>
          <w:szCs w:val="32"/>
        </w:rPr>
        <w:t>predeterminata</w:t>
      </w:r>
      <w:r>
        <w:rPr>
          <w:rFonts w:ascii="Times New Roman" w:hAnsi="Times New Roman" w:cs="Times New Roman"/>
          <w:sz w:val="32"/>
          <w:szCs w:val="32"/>
        </w:rPr>
        <w:t xml:space="preserve">, </w:t>
      </w:r>
      <w:r>
        <w:rPr>
          <w:rFonts w:ascii="Times New Roman" w:hAnsi="Times New Roman" w:cs="Times New Roman"/>
          <w:b w:val="1"/>
          <w:bCs w:val="1"/>
          <w:sz w:val="32"/>
          <w:szCs w:val="32"/>
        </w:rPr>
        <w:t>irrogata</w:t>
      </w:r>
      <w:r>
        <w:rPr>
          <w:rFonts w:ascii="Times New Roman" w:hAnsi="Times New Roman" w:cs="Times New Roman"/>
          <w:sz w:val="32"/>
          <w:szCs w:val="32"/>
        </w:rPr>
        <w:t xml:space="preserve"> e ne viene poi garantita, da appositi organi, </w:t>
      </w:r>
      <w:r>
        <w:rPr>
          <w:rFonts w:ascii="Times New Roman" w:hAnsi="Times New Roman" w:cs="Times New Roman"/>
          <w:b w:val="1"/>
          <w:bCs w:val="1"/>
          <w:sz w:val="32"/>
          <w:szCs w:val="32"/>
        </w:rPr>
        <w:t>l’esecuzione coattiva</w:t>
      </w:r>
      <w:r>
        <w:rPr>
          <w:rFonts w:ascii="Times New Roman" w:hAnsi="Times New Roman" w:cs="Times New Roman"/>
          <w:sz w:val="32"/>
          <w:szCs w:val="32"/>
        </w:rPr>
        <w:t xml:space="preserve">. </w:t>
      </w:r>
    </w:p>
    <w:p>
      <w:pPr>
        <w:spacing w:before="0" w:beforeAutospacing="0" w:afterAutospacing="0"/>
        <w:ind w:left="0" w:right="-1"/>
        <w:jc w:val="both"/>
        <w:rPr>
          <w:rFonts w:ascii="Times New Roman" w:hAnsi="Times New Roman" w:cs="Times New Roman"/>
          <w:sz w:val="32"/>
          <w:szCs w:val="32"/>
        </w:rPr>
      </w:pPr>
      <w:r>
        <w:rPr>
          <w:rFonts w:ascii="Times New Roman" w:hAnsi="Times New Roman" w:cs="Times New Roman"/>
          <w:sz w:val="32"/>
          <w:szCs w:val="32"/>
        </w:rPr>
        <w:t>L’insieme delle norme giuridiche vanno, poi, a comporre quello che noi definiamo “</w:t>
      </w:r>
      <w:r>
        <w:rPr>
          <w:rFonts w:ascii="Times New Roman" w:hAnsi="Times New Roman" w:cs="Times New Roman"/>
          <w:b w:val="1"/>
          <w:bCs w:val="1"/>
          <w:sz w:val="32"/>
          <w:szCs w:val="32"/>
        </w:rPr>
        <w:t>ordinamento giuridico</w:t>
      </w:r>
      <w:r>
        <w:rPr>
          <w:rFonts w:ascii="Times New Roman" w:hAnsi="Times New Roman" w:cs="Times New Roman"/>
          <w:sz w:val="32"/>
          <w:szCs w:val="32"/>
        </w:rPr>
        <w:t>”, ma soltanto in presenza di determinate condizioni:</w:t>
      </w:r>
    </w:p>
    <w:p>
      <w:pPr>
        <w:pStyle w:val="P13"/>
        <w:numPr>
          <w:ilvl w:val="0"/>
          <w:numId w:val="1"/>
        </w:numPr>
        <w:spacing w:before="0" w:beforeAutospacing="0" w:afterAutospacing="0"/>
        <w:ind w:right="-1"/>
        <w:jc w:val="both"/>
        <w:rPr>
          <w:rFonts w:ascii="Times New Roman" w:hAnsi="Times New Roman" w:cs="Times New Roman"/>
          <w:sz w:val="32"/>
          <w:szCs w:val="32"/>
        </w:rPr>
      </w:pPr>
      <w:r>
        <w:rPr>
          <w:rFonts w:ascii="Times New Roman" w:hAnsi="Times New Roman" w:cs="Times New Roman"/>
          <w:sz w:val="32"/>
          <w:szCs w:val="32"/>
        </w:rPr>
        <w:t>sussiste un minimo di norme coerenti e coordinate fra di loro;</w:t>
      </w:r>
    </w:p>
    <w:p>
      <w:pPr>
        <w:pStyle w:val="P13"/>
        <w:numPr>
          <w:ilvl w:val="0"/>
          <w:numId w:val="1"/>
        </w:numPr>
        <w:spacing w:before="0" w:beforeAutospacing="0" w:afterAutospacing="0"/>
        <w:ind w:right="-1"/>
        <w:jc w:val="both"/>
        <w:rPr>
          <w:rFonts w:ascii="Times New Roman" w:hAnsi="Times New Roman" w:cs="Times New Roman"/>
          <w:sz w:val="32"/>
          <w:szCs w:val="32"/>
        </w:rPr>
      </w:pPr>
      <w:r>
        <w:rPr>
          <w:rFonts w:ascii="Times New Roman" w:hAnsi="Times New Roman" w:cs="Times New Roman"/>
          <w:sz w:val="32"/>
          <w:szCs w:val="32"/>
        </w:rPr>
        <w:t>sono previste specifiche sanzioni per la loro violazione;</w:t>
      </w:r>
    </w:p>
    <w:p>
      <w:pPr>
        <w:pStyle w:val="P13"/>
        <w:numPr>
          <w:ilvl w:val="0"/>
          <w:numId w:val="1"/>
        </w:numPr>
        <w:spacing w:before="0" w:beforeAutospacing="0" w:afterAutospacing="0"/>
        <w:ind w:right="-1"/>
        <w:jc w:val="both"/>
        <w:rPr>
          <w:rFonts w:ascii="Times New Roman" w:hAnsi="Times New Roman" w:cs="Times New Roman"/>
          <w:sz w:val="32"/>
          <w:szCs w:val="32"/>
        </w:rPr>
      </w:pPr>
      <w:r>
        <w:rPr>
          <w:rFonts w:ascii="Times New Roman" w:hAnsi="Times New Roman" w:cs="Times New Roman"/>
          <w:sz w:val="32"/>
          <w:szCs w:val="32"/>
        </w:rPr>
        <w:t>esistono organi specifici che hanno la funzione di irrogare sanzioni, ma anche introdurre o modificare le regole di condotta per i consociati;</w:t>
      </w:r>
    </w:p>
    <w:p>
      <w:pPr>
        <w:spacing w:before="0" w:beforeAutospacing="0" w:afterAutospacing="0"/>
        <w:ind w:left="0" w:right="-1"/>
        <w:jc w:val="both"/>
        <w:rPr>
          <w:rFonts w:ascii="Times New Roman" w:hAnsi="Times New Roman" w:cs="Times New Roman"/>
          <w:sz w:val="32"/>
          <w:szCs w:val="32"/>
        </w:rPr>
      </w:pPr>
      <w:r>
        <w:rPr>
          <w:rFonts w:ascii="Times New Roman" w:hAnsi="Times New Roman" w:cs="Times New Roman"/>
          <w:sz w:val="32"/>
          <w:szCs w:val="32"/>
        </w:rPr>
        <w:t xml:space="preserve">Sussiste, inoltre, una pluralità di ordinamenti giuridici, tanti quanti sono i gruppi organizzati che abbiano le caratteristiche poc’anzi richiamate. Sicuramente la società più rilevante e dotata di maggiore organizzazione è quella statuale che si pone in una posizione di preminenza rispetto agli altri. Ma vi sono anche altri ordinamenti giuridici indipendenti, come quello del </w:t>
      </w:r>
      <w:r>
        <w:rPr>
          <w:rFonts w:ascii="Times New Roman" w:hAnsi="Times New Roman" w:cs="Times New Roman"/>
          <w:b w:val="1"/>
          <w:bCs w:val="1"/>
          <w:sz w:val="32"/>
          <w:szCs w:val="32"/>
        </w:rPr>
        <w:t xml:space="preserve">diritto internazionale </w:t>
      </w:r>
      <w:r>
        <w:rPr>
          <w:rFonts w:ascii="Times New Roman" w:hAnsi="Times New Roman" w:cs="Times New Roman"/>
          <w:sz w:val="32"/>
          <w:szCs w:val="32"/>
        </w:rPr>
        <w:t xml:space="preserve">che indirizza le proprie norme direttamente agli Stati e il </w:t>
      </w:r>
      <w:r>
        <w:rPr>
          <w:rFonts w:ascii="Times New Roman" w:hAnsi="Times New Roman" w:cs="Times New Roman"/>
          <w:b w:val="1"/>
          <w:bCs w:val="1"/>
          <w:sz w:val="32"/>
          <w:szCs w:val="32"/>
        </w:rPr>
        <w:t xml:space="preserve">diritto canonico </w:t>
      </w:r>
      <w:r>
        <w:rPr>
          <w:rFonts w:ascii="Times New Roman" w:hAnsi="Times New Roman" w:cs="Times New Roman"/>
          <w:sz w:val="32"/>
          <w:szCs w:val="32"/>
        </w:rPr>
        <w:t xml:space="preserve">di cui sono destinatari i fedeli della Chiesa cattolica. Ordinamenti minori, invece, includono le associazioni, i partiti politici o, se parliamo dell’ambito del diritto sportivo, la FIGC. Tuttavia, l’ordinamento statuale consente l’attuazione delle norme degli altri ordinamenti soltanto se esse risultano </w:t>
      </w:r>
      <w:r>
        <w:rPr>
          <w:rFonts w:ascii="Times New Roman" w:hAnsi="Times New Roman" w:cs="Times New Roman"/>
          <w:b w:val="1"/>
          <w:bCs w:val="1"/>
          <w:sz w:val="32"/>
          <w:szCs w:val="32"/>
        </w:rPr>
        <w:t>compatibili</w:t>
      </w:r>
      <w:r>
        <w:rPr>
          <w:rFonts w:ascii="Times New Roman" w:hAnsi="Times New Roman" w:cs="Times New Roman"/>
          <w:sz w:val="32"/>
          <w:szCs w:val="32"/>
        </w:rPr>
        <w:t xml:space="preserve"> con le sue prescrizioni, altrimenti i comportamenti verrebbero qualificati come illeciti e, quindi, soggetti alle relative sanzioni. Si prospetta, di conseguenza, un problema di rapporti fra i diversi sistemi giuridici. Può sussistere una reciproca </w:t>
      </w:r>
      <w:r>
        <w:rPr>
          <w:rFonts w:ascii="Times New Roman" w:hAnsi="Times New Roman" w:cs="Times New Roman"/>
          <w:b w:val="1"/>
          <w:bCs w:val="1"/>
          <w:sz w:val="32"/>
          <w:szCs w:val="32"/>
        </w:rPr>
        <w:t>irrilevanza</w:t>
      </w:r>
      <w:r>
        <w:rPr>
          <w:rFonts w:ascii="Times New Roman" w:hAnsi="Times New Roman" w:cs="Times New Roman"/>
          <w:sz w:val="32"/>
          <w:szCs w:val="32"/>
        </w:rPr>
        <w:t xml:space="preserve">, così ad es. per i precetti religiosi l’eventuale violazione non rileva normalmente per l’ordinamento dello Stato. Può esserci </w:t>
      </w:r>
      <w:r>
        <w:rPr>
          <w:rFonts w:ascii="Times New Roman" w:hAnsi="Times New Roman" w:cs="Times New Roman"/>
          <w:b w:val="1"/>
          <w:bCs w:val="1"/>
          <w:sz w:val="32"/>
          <w:szCs w:val="32"/>
        </w:rPr>
        <w:t>riconoscimento</w:t>
      </w:r>
      <w:r>
        <w:rPr>
          <w:rFonts w:ascii="Times New Roman" w:hAnsi="Times New Roman" w:cs="Times New Roman"/>
          <w:sz w:val="32"/>
          <w:szCs w:val="32"/>
        </w:rPr>
        <w:t xml:space="preserve">, nel senso che le norme estranee vengono fatte proprie dal diritto statuale, oppure può esserci anche </w:t>
      </w:r>
      <w:r>
        <w:rPr>
          <w:rFonts w:ascii="Times New Roman" w:hAnsi="Times New Roman" w:cs="Times New Roman"/>
          <w:b w:val="1"/>
          <w:bCs w:val="1"/>
          <w:sz w:val="32"/>
          <w:szCs w:val="32"/>
        </w:rPr>
        <w:t xml:space="preserve">incompatibilità </w:t>
      </w:r>
      <w:r>
        <w:rPr>
          <w:rFonts w:ascii="Times New Roman" w:hAnsi="Times New Roman" w:cs="Times New Roman"/>
          <w:sz w:val="32"/>
          <w:szCs w:val="32"/>
        </w:rPr>
        <w:t>(ad es. vi sono leggi straniere che ammettono la bigamia) con conseguente disapplicazione di tali previsioni nel nostro ordinamento.</w:t>
      </w: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tl w:val="0"/>
          <w:lang w:val="it-IT" w:bidi="it-IT" w:eastAsia="it-IT"/>
        </w:rPr>
      </w:pPr>
      <w:r>
        <w:rPr>
          <w:rFonts w:ascii="Times New Roman" w:hAnsi="Times New Roman" w:cs="Times New Roman"/>
          <w:sz w:val="32"/>
          <w:szCs w:val="32"/>
          <w:rtl w:val="0"/>
          <w:lang w:val="it-IT" w:bidi="it-IT" w:eastAsia="it-IT"/>
        </w:rPr>
        <w:t>PER CONCLUDERE:</w:t>
      </w:r>
    </w:p>
    <w:p>
      <w:pPr>
        <w:spacing w:before="0" w:beforeAutospacing="0" w:afterAutospacing="0"/>
        <w:ind w:left="0" w:right="-1"/>
        <w:jc w:val="both"/>
        <w:rPr>
          <w:rFonts w:ascii="Times New Roman" w:hAnsi="Times New Roman" w:cs="Times New Roman"/>
          <w:sz w:val="32"/>
          <w:szCs w:val="32"/>
          <w:rtl w:val="0"/>
          <w:lang w:val="it-IT" w:bidi="it-IT" w:eastAsia="it-IT"/>
        </w:rPr>
      </w:pPr>
    </w:p>
    <w:p>
      <w:pPr>
        <w:spacing w:before="0" w:beforeAutospacing="0" w:afterAutospacing="0"/>
        <w:ind w:left="0" w:right="-1"/>
        <w:jc w:val="both"/>
        <w:rPr>
          <w:rFonts w:ascii="Times New Roman" w:hAnsi="Times New Roman" w:cs="Times New Roman"/>
          <w:sz w:val="32"/>
          <w:szCs w:val="32"/>
          <w:rtl w:val="0"/>
          <w:lang w:val="it-IT" w:bidi="it-IT" w:eastAsia="it-IT"/>
        </w:rPr>
      </w:pPr>
      <w:r>
        <w:rPr>
          <w:rFonts w:ascii="Times New Roman" w:hAnsi="Times New Roman" w:cs="Times New Roman"/>
          <w:b w:val="1"/>
          <w:noProof w:val="0"/>
          <w:sz w:val="32"/>
          <w:szCs w:val="32"/>
          <w:rtl w:val="0"/>
          <w:cs w:val="0"/>
          <w:lang w:val="it-IT" w:bidi="it-IT" w:eastAsia="it-IT"/>
        </w:rPr>
        <w:t>DIRIT</w:t>
      </w:r>
      <w:r>
        <w:rPr>
          <w:rFonts w:ascii="Times New Roman" w:hAnsi="Times New Roman" w:cs="Times New Roman"/>
          <w:b w:val="1"/>
          <w:noProof w:val="0"/>
          <w:sz w:val="32"/>
          <w:szCs w:val="32"/>
          <w:rtl w:val="0"/>
          <w:cs w:val="0"/>
          <w:lang w:val="it-IT" w:bidi="it-IT" w:eastAsia="it-IT"/>
        </w:rPr>
        <w:t>TO POSITIVO</w:t>
      </w:r>
      <w:r>
        <w:rPr>
          <w:rFonts w:ascii="Times New Roman" w:hAnsi="Times New Roman" w:cs="Times New Roman"/>
          <w:sz w:val="32"/>
          <w:szCs w:val="32"/>
          <w:rtl w:val="0"/>
          <w:lang w:val="it-IT" w:bidi="it-IT" w:eastAsia="it-IT"/>
        </w:rPr>
        <w:t>: insieme di norme che compongono l'ordinamento giuridico di una determinata collettività (</w:t>
      </w:r>
      <w:r>
        <w:rPr>
          <w:rFonts w:ascii="Times New Roman" w:hAnsi="Times New Roman" w:cs="Times New Roman"/>
          <w:sz w:val="32"/>
          <w:szCs w:val="32"/>
          <w:rtl w:val="0"/>
          <w:lang w:val="it-IT" w:bidi="it-IT" w:eastAsia="it-IT"/>
        </w:rPr>
        <w:t xml:space="preserve">si dice positivo in quanto </w:t>
      </w:r>
      <w:r>
        <w:rPr>
          <w:rFonts w:ascii="Times New Roman" w:hAnsi="Times New Roman" w:cs="Times New Roman"/>
          <w:sz w:val="32"/>
          <w:szCs w:val="32"/>
          <w:rtl w:val="0"/>
          <w:lang w:val="it-IT" w:bidi="it-IT" w:eastAsia="it-IT"/>
        </w:rPr>
        <w:t xml:space="preserve">formalmente </w:t>
      </w:r>
      <w:r>
        <w:rPr>
          <w:rFonts w:ascii="Times New Roman" w:hAnsi="Times New Roman" w:cs="Times New Roman"/>
          <w:sz w:val="32"/>
          <w:szCs w:val="32"/>
          <w:rtl w:val="0"/>
          <w:lang w:val="it-IT" w:bidi="it-IT" w:eastAsia="it-IT"/>
        </w:rPr>
        <w:t xml:space="preserve">"posto" </w:t>
      </w:r>
      <w:r>
        <w:rPr>
          <w:rFonts w:ascii="Times New Roman" w:hAnsi="Times New Roman" w:cs="Times New Roman"/>
          <w:sz w:val="32"/>
          <w:szCs w:val="32"/>
          <w:rtl w:val="0"/>
          <w:lang w:val="it-IT" w:bidi="it-IT" w:eastAsia="it-IT"/>
        </w:rPr>
        <w:t>dagli or</w:t>
      </w:r>
      <w:r>
        <w:rPr>
          <w:rFonts w:ascii="Times New Roman" w:hAnsi="Times New Roman" w:cs="Times New Roman"/>
          <w:sz w:val="32"/>
          <w:szCs w:val="32"/>
          <w:rtl w:val="0"/>
          <w:lang w:val="it-IT" w:bidi="it-IT" w:eastAsia="it-IT"/>
        </w:rPr>
        <w:t>gani competenti).</w:t>
      </w:r>
    </w:p>
    <w:p>
      <w:pPr>
        <w:spacing w:before="0" w:beforeAutospacing="0" w:afterAutospacing="0"/>
        <w:ind w:left="0" w:right="-1"/>
        <w:jc w:val="both"/>
        <w:rPr>
          <w:rFonts w:ascii="Times New Roman" w:hAnsi="Times New Roman" w:cs="Times New Roman"/>
          <w:sz w:val="32"/>
          <w:szCs w:val="32"/>
          <w:rtl w:val="0"/>
          <w:lang w:val="it-IT" w:bidi="it-IT" w:eastAsia="it-IT"/>
        </w:rPr>
      </w:pPr>
    </w:p>
    <w:p>
      <w:pPr>
        <w:spacing w:before="0" w:beforeAutospacing="0" w:afterAutospacing="0"/>
        <w:ind w:left="0" w:right="-1"/>
        <w:jc w:val="both"/>
        <w:rPr>
          <w:rFonts w:ascii="Times New Roman" w:hAnsi="Times New Roman" w:cs="Times New Roman"/>
          <w:sz w:val="32"/>
          <w:szCs w:val="32"/>
        </w:rPr>
      </w:pPr>
      <w:r>
        <w:rPr>
          <w:rFonts w:ascii="Times New Roman" w:hAnsi="Times New Roman" w:cs="Times New Roman"/>
          <w:b w:val="1"/>
          <w:noProof w:val="0"/>
          <w:sz w:val="32"/>
          <w:szCs w:val="32"/>
          <w:rtl w:val="0"/>
          <w:cs w:val="0"/>
          <w:lang w:val="it-IT" w:bidi="it-IT" w:eastAsia="it-IT"/>
        </w:rPr>
        <w:t>DIRITTO NATURALE</w:t>
      </w:r>
      <w:r>
        <w:rPr>
          <w:rFonts w:ascii="Times New Roman" w:hAnsi="Times New Roman" w:cs="Times New Roman"/>
          <w:sz w:val="32"/>
          <w:szCs w:val="32"/>
          <w:rtl w:val="0"/>
          <w:lang w:val="it-IT" w:bidi="it-IT" w:eastAsia="it-IT"/>
        </w:rPr>
        <w:t>: insieme di principi non arbitrari, legati alla natura e alla ragione umana.</w:t>
      </w: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pStyle w:val="P1"/>
        <w:jc w:val="center"/>
      </w:pPr>
      <w:r>
        <w:t>IL DIRITTO NATURALE</w:t>
      </w:r>
    </w:p>
    <w:p/>
    <w:p>
      <w:pPr>
        <w:spacing w:before="0" w:beforeAutospacing="0" w:afterAutospacing="0"/>
        <w:ind w:left="0" w:right="-1"/>
        <w:jc w:val="both"/>
        <w:rPr>
          <w:sz w:val="32"/>
          <w:szCs w:val="32"/>
        </w:rPr>
      </w:pPr>
      <w:r>
        <w:rPr>
          <w:sz w:val="32"/>
          <w:szCs w:val="32"/>
        </w:rPr>
        <w:t xml:space="preserve">Storicamente, l’espressione </w:t>
      </w:r>
      <w:r>
        <w:rPr>
          <w:b w:val="1"/>
          <w:bCs w:val="1"/>
          <w:sz w:val="32"/>
          <w:szCs w:val="32"/>
        </w:rPr>
        <w:t>diritto naturale</w:t>
      </w:r>
      <w:r>
        <w:rPr>
          <w:sz w:val="32"/>
          <w:szCs w:val="32"/>
        </w:rPr>
        <w:t xml:space="preserve"> risale al IV sec. A. C. e si deve ad Aristotele, il quale riconobbe un diritto universale, come diritto non scritto di cui tutti gli uomini hanno intuizione, in quanto legato alla natura razionale e sociale dell’uomo. L’ esistenza di una giustizia superiore operò anche nella cultura giuridica romana. </w:t>
      </w:r>
    </w:p>
    <w:p>
      <w:pPr>
        <w:spacing w:before="0" w:beforeAutospacing="0" w:afterAutospacing="0"/>
        <w:ind w:left="0" w:right="-1"/>
        <w:jc w:val="both"/>
        <w:rPr>
          <w:sz w:val="32"/>
          <w:szCs w:val="32"/>
        </w:rPr>
      </w:pPr>
      <w:r>
        <w:rPr>
          <w:sz w:val="32"/>
          <w:szCs w:val="32"/>
        </w:rPr>
        <w:t xml:space="preserve">Una tappa fondamentale della riflessione sul diritto naturale è quella tracciata da san Tommaso d’Aquino nel XIII sec. d. C. che inquadrò il problema nella </w:t>
      </w:r>
      <w:r>
        <w:rPr>
          <w:b w:val="1"/>
          <w:bCs w:val="1"/>
          <w:sz w:val="32"/>
          <w:szCs w:val="32"/>
        </w:rPr>
        <w:t>visione teocentrica</w:t>
      </w:r>
      <w:r>
        <w:rPr>
          <w:sz w:val="32"/>
          <w:szCs w:val="32"/>
        </w:rPr>
        <w:t xml:space="preserve">, dove abbiamo la </w:t>
      </w:r>
      <w:r>
        <w:rPr>
          <w:b w:val="1"/>
          <w:bCs w:val="1"/>
          <w:sz w:val="32"/>
          <w:szCs w:val="32"/>
        </w:rPr>
        <w:t>legge divina</w:t>
      </w:r>
      <w:r>
        <w:rPr>
          <w:sz w:val="32"/>
          <w:szCs w:val="32"/>
        </w:rPr>
        <w:t xml:space="preserve"> rivelata direttamente da Dio tramite le Scritture; la </w:t>
      </w:r>
      <w:r>
        <w:rPr>
          <w:b w:val="1"/>
          <w:bCs w:val="1"/>
          <w:sz w:val="32"/>
          <w:szCs w:val="32"/>
        </w:rPr>
        <w:t xml:space="preserve">legge naturale </w:t>
      </w:r>
      <w:r>
        <w:rPr>
          <w:sz w:val="32"/>
          <w:szCs w:val="32"/>
        </w:rPr>
        <w:t xml:space="preserve">è la legge eterna scritta sempre da Dio nell’ordine della natura ma scoperta dall’uomo con l’uso della ragione; la </w:t>
      </w:r>
      <w:r>
        <w:rPr>
          <w:b w:val="1"/>
          <w:bCs w:val="1"/>
          <w:sz w:val="32"/>
          <w:szCs w:val="32"/>
        </w:rPr>
        <w:t>legge umana</w:t>
      </w:r>
      <w:r>
        <w:rPr>
          <w:sz w:val="32"/>
          <w:szCs w:val="32"/>
        </w:rPr>
        <w:t xml:space="preserve"> posta dagli uomini, in maniera storicamente variabile.</w:t>
      </w:r>
    </w:p>
    <w:p>
      <w:pPr>
        <w:spacing w:before="0" w:beforeAutospacing="0" w:afterAutospacing="0"/>
        <w:ind w:left="0" w:right="-1"/>
        <w:jc w:val="both"/>
        <w:rPr>
          <w:sz w:val="32"/>
          <w:szCs w:val="32"/>
        </w:rPr>
      </w:pPr>
      <w:r>
        <w:rPr>
          <w:sz w:val="32"/>
          <w:szCs w:val="32"/>
        </w:rPr>
        <w:t xml:space="preserve">L’ idea di diritto naturale, tuttavia, giunge nella sua elaborazione più complessa con il </w:t>
      </w:r>
      <w:r>
        <w:rPr>
          <w:b w:val="1"/>
          <w:bCs w:val="1"/>
          <w:sz w:val="32"/>
          <w:szCs w:val="32"/>
        </w:rPr>
        <w:t xml:space="preserve">giusnaturalismo </w:t>
      </w:r>
      <w:r>
        <w:rPr>
          <w:sz w:val="32"/>
          <w:szCs w:val="32"/>
        </w:rPr>
        <w:t xml:space="preserve">nel XVII sec. con la nascita di una legge di natura legata sempre alla ragione, ma con una </w:t>
      </w:r>
      <w:r>
        <w:rPr>
          <w:b w:val="1"/>
          <w:bCs w:val="1"/>
          <w:sz w:val="32"/>
          <w:szCs w:val="32"/>
        </w:rPr>
        <w:t>prospettiva antropocentrica</w:t>
      </w:r>
      <w:r>
        <w:rPr>
          <w:sz w:val="32"/>
          <w:szCs w:val="32"/>
        </w:rPr>
        <w:t xml:space="preserve">, emersa dall’Umanesimo e dal Rinascimento. In sostanza, la ragione non è vista come un semplice strumento per scoprire ciò che è insito nella natura delle cose, bensì lo stesso fondamento di una legge che è universale e immutabile. Il diritto naturale è inteso come un insieme di principi eterni e immutabili che va a costituire un modello di riferimento per la </w:t>
      </w:r>
      <w:r>
        <w:rPr>
          <w:b w:val="1"/>
          <w:bCs w:val="1"/>
          <w:sz w:val="32"/>
          <w:szCs w:val="32"/>
        </w:rPr>
        <w:t>legge positiva</w:t>
      </w:r>
      <w:r>
        <w:rPr>
          <w:sz w:val="32"/>
          <w:szCs w:val="32"/>
        </w:rPr>
        <w:t>.</w:t>
      </w:r>
    </w:p>
    <w:p>
      <w:pPr>
        <w:spacing w:before="0" w:beforeAutospacing="0" w:afterAutospacing="0"/>
        <w:ind w:left="0" w:right="-1"/>
        <w:jc w:val="both"/>
        <w:rPr>
          <w:sz w:val="32"/>
          <w:szCs w:val="32"/>
        </w:rPr>
      </w:pPr>
      <w:r>
        <w:rPr>
          <w:sz w:val="32"/>
          <w:szCs w:val="32"/>
        </w:rPr>
        <w:t xml:space="preserve">Con l’avvento del Romanticismo si pose fine al razionalismo che caratterizzò l’epoca illuminista. Nacque, nello specifico, lo </w:t>
      </w:r>
      <w:r>
        <w:rPr>
          <w:b w:val="1"/>
          <w:bCs w:val="1"/>
          <w:sz w:val="32"/>
          <w:szCs w:val="32"/>
        </w:rPr>
        <w:t>storicismo</w:t>
      </w:r>
      <w:r>
        <w:rPr>
          <w:sz w:val="32"/>
          <w:szCs w:val="32"/>
        </w:rPr>
        <w:t xml:space="preserve"> che respinse l’idea di una legge universale ed eterna, poiché si osservò come il diritto muta in relazione alle diverse civiltà che si succedono nel tempo e nello spazio. A questo punto, il giusnaturalismo fece spazio al </w:t>
      </w:r>
      <w:r>
        <w:rPr>
          <w:b w:val="1"/>
          <w:bCs w:val="1"/>
          <w:sz w:val="32"/>
          <w:szCs w:val="32"/>
        </w:rPr>
        <w:t xml:space="preserve">positivismo giuridico. </w:t>
      </w:r>
      <w:r>
        <w:rPr>
          <w:sz w:val="32"/>
          <w:szCs w:val="32"/>
        </w:rPr>
        <w:t xml:space="preserve">In particolare, le nuove scoperte scientifiche e tecnologiche attribuirono alla </w:t>
      </w:r>
      <w:r>
        <w:rPr>
          <w:b w:val="1"/>
          <w:bCs w:val="1"/>
          <w:sz w:val="32"/>
          <w:szCs w:val="32"/>
        </w:rPr>
        <w:t>scienza</w:t>
      </w:r>
      <w:r>
        <w:rPr>
          <w:sz w:val="32"/>
          <w:szCs w:val="32"/>
        </w:rPr>
        <w:t xml:space="preserve"> il ruolo di guida della società e la scienza giuridica può occuparsi solo di studiare ed interpretare la realtà “oggettiva” delle norme positive, cioè, “poste” da un organo competente a legiferare, senza lasciare spazio a questioni “soggettive” e opinabili come i valori etici e la giustizia.</w:t>
      </w:r>
    </w:p>
    <w:p>
      <w:pPr>
        <w:spacing w:before="0" w:beforeAutospacing="0" w:afterAutospacing="0"/>
        <w:ind w:left="0" w:right="-1"/>
        <w:jc w:val="both"/>
        <w:rPr>
          <w:sz w:val="32"/>
          <w:szCs w:val="32"/>
        </w:rPr>
      </w:pPr>
      <w:r>
        <w:rPr>
          <w:sz w:val="32"/>
          <w:szCs w:val="32"/>
        </w:rPr>
        <w:t xml:space="preserve">Infine, nella seconda metà del ‘900, a seguito dei fenomeni deplorevoli risalenti alla Seconda Guerra Mondiale e legittimate dai supporti teorici delle impostazioni positivistiche, emerse l’esigenza di assicurare non un “qualsiasi ordine”, bensì un ordine che sia al contempo “giusto”. Motivo per cui, questo secolo vide rifiorire lo studio sul diritto naturale (c.d. </w:t>
      </w:r>
      <w:r>
        <w:rPr>
          <w:b w:val="1"/>
          <w:bCs w:val="1"/>
          <w:sz w:val="32"/>
          <w:szCs w:val="32"/>
        </w:rPr>
        <w:t>neogiusnaturalismo</w:t>
      </w:r>
      <w:r>
        <w:rPr>
          <w:sz w:val="32"/>
          <w:szCs w:val="32"/>
        </w:rPr>
        <w:t>).</w:t>
      </w: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spacing w:before="0" w:beforeAutospacing="0" w:afterAutospacing="0"/>
        <w:ind w:left="0" w:right="-1"/>
        <w:jc w:val="both"/>
        <w:rPr>
          <w:rFonts w:ascii="Times New Roman" w:hAnsi="Times New Roman" w:cs="Times New Roman"/>
          <w:sz w:val="32"/>
          <w:szCs w:val="32"/>
        </w:rPr>
      </w:pPr>
    </w:p>
    <w:p>
      <w:pPr>
        <w:ind w:left="0" w:right="-1"/>
        <w:jc w:val="both"/>
        <w:rPr>
          <w:rFonts w:ascii="Times New Roman" w:hAnsi="Times New Roman" w:cs="Times New Roman"/>
          <w:sz w:val="32"/>
          <w:szCs w:val="32"/>
        </w:rPr>
      </w:pPr>
      <w:r>
        <w:rPr>
          <w:rFonts w:ascii="Times New Roman" w:hAnsi="Times New Roman" w:cs="Times New Roman"/>
          <w:noProof w:val="1"/>
          <w:sz w:val="32"/>
          <w:szCs w:val="32"/>
        </w:rPr>
        <mc:AlternateContent>
          <mc:Choice Requires="wpc">
            <w:drawing>
              <wp:inline xmlns:wp="http://schemas.openxmlformats.org/drawingml/2006/wordprocessingDrawing" distT="0" distB="0" distL="0" distR="0">
                <wp:extent cx="5486400" cy="3200400"/>
                <wp:effectExtent l="0" t="0" r="0" b="0"/>
                <wp:docPr id="1258321521" name="Tela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c:wpc>
                  </a:graphicData>
                </a:graphic>
              </wp:inline>
            </w:drawing>
          </mc:Choice>
          <mc:Fallback>
            <w:pict>
              <v:group xmlns:o="urn:schemas-microsoft-com:office:office" id="Tela 1" editas="canvas" style="width:432pt;height:252pt;mso-wrap-distance-left:0pt;mso-wrap-distance-top:0pt;mso-wrap-distance-right:0pt;mso-wrap-distance-bottom:0pt;margin-left:0pt;margin-top:0pt;mso-position-horizontal:absolute;mso-position-horizontal-relative:page;mso-position-vertical:absolute;mso-position-vertical-relative:page" o:allowoverlap="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Tela 1" type="#_x0000_t75" style="position:absolute;width:5486400;height:3200400" fillcolor="#FFFFFF" stroked="f">
                  <o:lock text="t"/>
                </v:shape>
              </v:group>
            </w:pict>
          </mc:Fallback>
        </mc:AlternateContent>
      </w:r>
    </w:p>
    <w:sectPr>
      <w:headerReference xmlns:r="http://schemas.openxmlformats.org/officeDocument/2006/relationships" w:type="first" r:id="RelHdr1"/>
      <w:headerReference xmlns:r="http://schemas.openxmlformats.org/officeDocument/2006/relationships" w:type="default" r:id="RelHdr2"/>
      <w:headerReference xmlns:r="http://schemas.openxmlformats.org/officeDocument/2006/relationships" w:type="even" r:id="RelHdr3"/>
      <w:footerReference xmlns:r="http://schemas.openxmlformats.org/officeDocument/2006/relationships" w:type="first" r:id="RelFtr1"/>
      <w:footerReference xmlns:r="http://schemas.openxmlformats.org/officeDocument/2006/relationships" w:type="default" r:id="RelFtr2"/>
      <w:footerReference xmlns:r="http://schemas.openxmlformats.org/officeDocument/2006/relationships" w:type="even" r:id="RelFtr3"/>
      <w:footnotePr/>
      <w:endnotePr/>
      <w:type w:val="nextPage"/>
      <w:pgSz w:w="11906" w:h="16838" w:code="0"/>
      <w:pgMar w:left="1134" w:right="1134" w:top="1417" w:bottom="1134" w:header="708" w:footer="708" w:gutter="0"/>
    </w:sectPr>
  </w:body>
</w:document>
</file>

<file path=word/endnotes.xml><?xml version="1.0" encoding="utf-8"?>
<w:endnotes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pPr>
        <w:spacing w:before="0" w:beforeAutospacing="0" w:afterAutospacing="0"/>
      </w:pPr>
      <w:r>
        <w:separator/>
      </w:r>
    </w:p>
  </w:endnote>
  <w:endnote w:type="continuationSeparator" w:id="0">
    <w:p>
      <w:pPr>
        <w:spacing w:before="0" w:beforeAutospacing="0" w:afterAutospacing="0"/>
      </w:pPr>
      <w:r>
        <w:continuationSeparator/>
      </w:r>
    </w:p>
  </w:endnote>
</w:endnotes>
</file>

<file path=word/footer1.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p>
    <w:pPr>
      <w:pStyle w:val="P16"/>
    </w:pPr>
  </w:p>
</w:ftr>
</file>

<file path=word/footer2.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p>
    <w:pPr>
      <w:pStyle w:val="P16"/>
      <w:jc w:val="center"/>
    </w:pPr>
    <w:r>
      <w:fldChar w:fldCharType="begin"/>
    </w:r>
    <w:r>
      <w:instrText xml:space="preserve">PAGE   \* MERGEFORMAT</w:instrText>
    </w:r>
    <w:r>
      <w:fldChar w:fldCharType="separate"/>
    </w:r>
    <w:r>
      <w:t>#</w:t>
    </w:r>
    <w:r>
      <w:fldChar w:fldCharType="end"/>
    </w:r>
  </w:p>
  <w:p>
    <w:pPr>
      <w:pStyle w:val="P16"/>
    </w:pPr>
  </w:p>
</w:ftr>
</file>

<file path=word/footer3.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p>
    <w:pPr>
      <w:pStyle w:val="P16"/>
    </w:pPr>
  </w:p>
</w:ftr>
</file>

<file path=word/footnotes.xml><?xml version="1.0" encoding="utf-8"?>
<w:footnotes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pPr>
        <w:spacing w:before="0" w:beforeAutospacing="0" w:afterAutospacing="0"/>
      </w:pPr>
      <w:r>
        <w:separator/>
      </w:r>
    </w:p>
  </w:footnote>
  <w:footnote w:type="continuationSeparator" w:id="0">
    <w:p>
      <w:pPr>
        <w:spacing w:before="0" w:beforeAutospacing="0" w:afterAutospacing="0"/>
      </w:pPr>
      <w:r>
        <w:continuationSeparator/>
      </w:r>
    </w:p>
  </w:footnote>
</w:footnotes>
</file>

<file path=word/header1.xml><?xml version="1.0" encoding="utf-8"?>
<w:hd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p>
    <w:pPr>
      <w:pStyle w:val="P15"/>
    </w:pPr>
  </w:p>
</w:hdr>
</file>

<file path=word/header2.xml><?xml version="1.0" encoding="utf-8"?>
<w:hd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p>
    <w:pPr>
      <w:pStyle w:val="P15"/>
    </w:pPr>
  </w:p>
</w:hdr>
</file>

<file path=word/header3.xml><?xml version="1.0" encoding="utf-8"?>
<w:hd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p>
    <w:pPr>
      <w:pStyle w:val="P15"/>
    </w:pPr>
  </w:p>
</w:hdr>
</file>

<file path=word/numbering.xml><?xml version="1.0" encoding="utf-8"?>
<w:numbering xmlns:w="http://schemas.openxmlformats.org/wordprocessingml/2006/main">
  <w:abstractNum w:abstractNumId="0">
    <w:nsid w:val="394C66CC"/>
    <w:multiLevelType w:val="hybridMultilevel"/>
    <w:lvl w:ilvl="0" w:tplc="DC3C89CA">
      <w:start w:val="1"/>
      <w:numFmt w:val="decimal"/>
      <w:suff w:val="tab"/>
      <w:lvlText w:val="%1-"/>
      <w:lvlJc w:val="left"/>
      <w:pPr>
        <w:ind w:hanging="360" w:left="720"/>
      </w:pPr>
      <w:rPr>
        <w:rFonts w:hint="default"/>
      </w:rPr>
    </w:lvl>
    <w:lvl w:ilvl="1" w:tplc="04100019">
      <w:start w:val="1"/>
      <w:numFmt w:val="lowerLetter"/>
      <w:suff w:val="tab"/>
      <w:lvlText w:val="%2."/>
      <w:lvlJc w:val="left"/>
      <w:pPr>
        <w:ind w:hanging="360" w:left="1440"/>
      </w:pPr>
      <w:rPr/>
    </w:lvl>
    <w:lvl w:ilvl="2" w:tplc="0410001B">
      <w:start w:val="1"/>
      <w:numFmt w:val="lowerRoman"/>
      <w:suff w:val="tab"/>
      <w:lvlText w:val="%3."/>
      <w:lvlJc w:val="right"/>
      <w:pPr>
        <w:ind w:hanging="180" w:left="2160"/>
      </w:pPr>
      <w:rPr/>
    </w:lvl>
    <w:lvl w:ilvl="3" w:tplc="0410000F">
      <w:start w:val="1"/>
      <w:numFmt w:val="decimal"/>
      <w:suff w:val="tab"/>
      <w:lvlText w:val="%4."/>
      <w:lvlJc w:val="left"/>
      <w:pPr>
        <w:ind w:hanging="360" w:left="2880"/>
      </w:pPr>
      <w:rPr/>
    </w:lvl>
    <w:lvl w:ilvl="4" w:tplc="04100019">
      <w:start w:val="1"/>
      <w:numFmt w:val="lowerLetter"/>
      <w:suff w:val="tab"/>
      <w:lvlText w:val="%5."/>
      <w:lvlJc w:val="left"/>
      <w:pPr>
        <w:ind w:hanging="360" w:left="3600"/>
      </w:pPr>
      <w:rPr/>
    </w:lvl>
    <w:lvl w:ilvl="5" w:tplc="0410001B">
      <w:start w:val="1"/>
      <w:numFmt w:val="lowerRoman"/>
      <w:suff w:val="tab"/>
      <w:lvlText w:val="%6."/>
      <w:lvlJc w:val="right"/>
      <w:pPr>
        <w:ind w:hanging="180" w:left="4320"/>
      </w:pPr>
      <w:rPr/>
    </w:lvl>
    <w:lvl w:ilvl="6" w:tplc="0410000F">
      <w:start w:val="1"/>
      <w:numFmt w:val="decimal"/>
      <w:suff w:val="tab"/>
      <w:lvlText w:val="%7."/>
      <w:lvlJc w:val="left"/>
      <w:pPr>
        <w:ind w:hanging="360" w:left="5040"/>
      </w:pPr>
      <w:rPr/>
    </w:lvl>
    <w:lvl w:ilvl="7" w:tplc="04100019">
      <w:start w:val="1"/>
      <w:numFmt w:val="lowerLetter"/>
      <w:suff w:val="tab"/>
      <w:lvlText w:val="%8."/>
      <w:lvlJc w:val="left"/>
      <w:pPr>
        <w:ind w:hanging="360" w:left="5760"/>
      </w:pPr>
      <w:rPr/>
    </w:lvl>
    <w:lvl w:ilvl="8" w:tplc="0410001B">
      <w:start w:val="1"/>
      <w:numFmt w:val="lowerRoman"/>
      <w:suff w:val="tab"/>
      <w:lvlText w:val="%9."/>
      <w:lvlJc w:val="right"/>
      <w:pPr>
        <w:ind w:hanging="180" w:left="6480"/>
      </w:pPr>
      <w:rPr/>
    </w:lvl>
  </w:abstractNum>
  <w:num w:numId="1">
    <w:abstractNumId w:val="0"/>
  </w:num>
</w:numbering>
</file>

<file path=word/settings.xml><?xml version="1.0" encoding="utf-8"?>
<w:settings xmlns:w="http://schemas.openxmlformats.org/wordprocessingml/2006/main">
  <w:displayBackgroundShape w:val="0"/>
  <w:defaultTabStop w:val="708"/>
  <w:autoHyphenation w:val="0"/>
  <w:hyphenationZone w:val="283"/>
  <w:evenAndOddHeaders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kern w:val="2"/>
        <w:lang w:val="it-IT" w:bidi="ar-SA" w:eastAsia="en-US"/>
      </w:rPr>
    </w:rPrDefault>
    <w:pPrDefault>
      <w:pPr>
        <w:keepNext w:val="0"/>
        <w:keepLines w:val="0"/>
        <w:pageBreakBefore w:val="0"/>
        <w:widowControl w:val="1"/>
        <w:suppressLineNumbers w:val="0"/>
        <w:shd w:val="clear" w:fill="auto"/>
        <w:suppressAutoHyphens w:val="0"/>
        <w:spacing w:lineRule="auto" w:line="240" w:before="120" w:after="120" w:beforeAutospacing="0" w:afterAutospacing="0"/>
        <w:ind w:firstLine="0" w:left="1701" w:right="1701"/>
        <w:contextualSpacing w:val="0"/>
        <w:bidi w:val="0"/>
        <w:jc w:val="left"/>
        <w:outlineLvl w:val="9"/>
      </w:pPr>
    </w:pPrDefault>
  </w:docDefaults>
  <w:style w:type="paragraph" w:styleId="P0" w:default="1">
    <w:name w:val="Normal"/>
    <w:qFormat/>
    <w:pPr>
      <w:widowControl w:val="0"/>
      <w:spacing w:after="0" w:beforeAutospacing="0" w:afterAutospacing="0"/>
    </w:pPr>
    <w:rPr/>
  </w:style>
  <w:style w:type="paragraph" w:styleId="P1">
    <w:name w:val="Heading 1"/>
    <w:basedOn w:val="P0"/>
    <w:next w:val="P0"/>
    <w:link w:val="C3"/>
    <w:qFormat/>
    <w:pPr>
      <w:keepNext w:val="1"/>
      <w:keepLines w:val="1"/>
      <w:spacing w:before="360" w:after="80" w:beforeAutospacing="0" w:afterAutospacing="0"/>
      <w:outlineLvl w:val="0"/>
    </w:pPr>
    <w:rPr>
      <w:rFonts w:asciiTheme="majorHAnsi" w:hAnsiTheme="majorHAnsi" w:cstheme="majorBidi" w:eastAsiaTheme="majorEastAsia"/>
      <w:color w:val="2F5496" w:themeColor="accent1" w:themeShade="BF"/>
      <w:sz w:val="40"/>
      <w:szCs w:val="40"/>
    </w:rPr>
  </w:style>
  <w:style w:type="paragraph" w:styleId="P2">
    <w:name w:val="Heading 2"/>
    <w:basedOn w:val="P0"/>
    <w:next w:val="P0"/>
    <w:link w:val="C4"/>
    <w:semiHidden/>
    <w:qFormat/>
    <w:pPr>
      <w:keepNext w:val="1"/>
      <w:keepLines w:val="1"/>
      <w:spacing w:before="160" w:after="80" w:beforeAutospacing="0" w:afterAutospacing="0"/>
      <w:outlineLvl w:val="1"/>
    </w:pPr>
    <w:rPr>
      <w:rFonts w:asciiTheme="majorHAnsi" w:hAnsiTheme="majorHAnsi" w:cstheme="majorBidi" w:eastAsiaTheme="majorEastAsia"/>
      <w:color w:val="2F5496" w:themeColor="accent1" w:themeShade="BF"/>
      <w:sz w:val="32"/>
      <w:szCs w:val="32"/>
    </w:rPr>
  </w:style>
  <w:style w:type="paragraph" w:styleId="P3">
    <w:name w:val="Heading 3"/>
    <w:basedOn w:val="P0"/>
    <w:next w:val="P0"/>
    <w:link w:val="C5"/>
    <w:semiHidden/>
    <w:qFormat/>
    <w:pPr>
      <w:keepNext w:val="1"/>
      <w:keepLines w:val="1"/>
      <w:spacing w:before="160" w:after="80" w:beforeAutospacing="0" w:afterAutospacing="0"/>
      <w:outlineLvl w:val="2"/>
    </w:pPr>
    <w:rPr>
      <w:rFonts w:cstheme="majorBidi" w:eastAsiaTheme="majorEastAsia"/>
      <w:color w:val="2F5496" w:themeColor="accent1" w:themeShade="BF"/>
      <w:sz w:val="28"/>
      <w:szCs w:val="28"/>
    </w:rPr>
  </w:style>
  <w:style w:type="paragraph" w:styleId="P4">
    <w:name w:val="Heading 4"/>
    <w:basedOn w:val="P0"/>
    <w:next w:val="P0"/>
    <w:link w:val="C6"/>
    <w:semiHidden/>
    <w:qFormat/>
    <w:pPr>
      <w:keepNext w:val="1"/>
      <w:keepLines w:val="1"/>
      <w:spacing w:before="80" w:after="40" w:beforeAutospacing="0" w:afterAutospacing="0"/>
      <w:outlineLvl w:val="3"/>
    </w:pPr>
    <w:rPr>
      <w:rFonts w:cstheme="majorBidi" w:eastAsiaTheme="majorEastAsia"/>
      <w:i w:val="1"/>
      <w:iCs w:val="1"/>
      <w:color w:val="2F5496" w:themeColor="accent1" w:themeShade="BF"/>
    </w:rPr>
  </w:style>
  <w:style w:type="paragraph" w:styleId="P5">
    <w:name w:val="Heading 5"/>
    <w:basedOn w:val="P0"/>
    <w:next w:val="P0"/>
    <w:link w:val="C7"/>
    <w:semiHidden/>
    <w:qFormat/>
    <w:pPr>
      <w:keepNext w:val="1"/>
      <w:keepLines w:val="1"/>
      <w:spacing w:before="80" w:after="40" w:beforeAutospacing="0" w:afterAutospacing="0"/>
      <w:outlineLvl w:val="4"/>
    </w:pPr>
    <w:rPr>
      <w:rFonts w:cstheme="majorBidi" w:eastAsiaTheme="majorEastAsia"/>
      <w:color w:val="2F5496" w:themeColor="accent1" w:themeShade="BF"/>
    </w:rPr>
  </w:style>
  <w:style w:type="paragraph" w:styleId="P6">
    <w:name w:val="Heading 6"/>
    <w:basedOn w:val="P0"/>
    <w:next w:val="P0"/>
    <w:link w:val="C8"/>
    <w:semiHidden/>
    <w:qFormat/>
    <w:pPr>
      <w:keepNext w:val="1"/>
      <w:keepLines w:val="1"/>
      <w:spacing w:before="40" w:beforeAutospacing="0" w:afterAutospacing="0"/>
      <w:outlineLvl w:val="5"/>
    </w:pPr>
    <w:rPr>
      <w:rFonts w:cstheme="majorBidi" w:eastAsiaTheme="majorEastAsia"/>
      <w:i w:val="1"/>
      <w:iCs w:val="1"/>
      <w:color w:val="595959" w:themeColor="text1" w:themeTint="A6"/>
    </w:rPr>
  </w:style>
  <w:style w:type="paragraph" w:styleId="P7">
    <w:name w:val="Heading 7"/>
    <w:basedOn w:val="P0"/>
    <w:next w:val="P0"/>
    <w:link w:val="C9"/>
    <w:semiHidden/>
    <w:qFormat/>
    <w:pPr>
      <w:keepNext w:val="1"/>
      <w:keepLines w:val="1"/>
      <w:spacing w:before="40" w:beforeAutospacing="0" w:afterAutospacing="0"/>
      <w:outlineLvl w:val="6"/>
    </w:pPr>
    <w:rPr>
      <w:rFonts w:cstheme="majorBidi" w:eastAsiaTheme="majorEastAsia"/>
      <w:color w:val="595959" w:themeColor="text1" w:themeTint="A6"/>
    </w:rPr>
  </w:style>
  <w:style w:type="paragraph" w:styleId="P8">
    <w:name w:val="Heading 8"/>
    <w:basedOn w:val="P0"/>
    <w:next w:val="P0"/>
    <w:link w:val="C10"/>
    <w:semiHidden/>
    <w:qFormat/>
    <w:pPr>
      <w:keepNext w:val="1"/>
      <w:keepLines w:val="1"/>
      <w:spacing w:before="0" w:beforeAutospacing="0" w:afterAutospacing="0"/>
      <w:outlineLvl w:val="7"/>
    </w:pPr>
    <w:rPr>
      <w:rFonts w:cstheme="majorBidi" w:eastAsiaTheme="majorEastAsia"/>
      <w:i w:val="1"/>
      <w:iCs w:val="1"/>
      <w:color w:val="272727" w:themeColor="text1" w:themeTint="D8"/>
    </w:rPr>
  </w:style>
  <w:style w:type="paragraph" w:styleId="P9">
    <w:name w:val="Heading 9"/>
    <w:basedOn w:val="P0"/>
    <w:next w:val="P0"/>
    <w:link w:val="C11"/>
    <w:semiHidden/>
    <w:qFormat/>
    <w:pPr>
      <w:keepNext w:val="1"/>
      <w:keepLines w:val="1"/>
      <w:spacing w:before="0" w:beforeAutospacing="0" w:afterAutospacing="0"/>
      <w:outlineLvl w:val="8"/>
    </w:pPr>
    <w:rPr>
      <w:rFonts w:cstheme="majorBidi" w:eastAsiaTheme="majorEastAsia"/>
      <w:color w:val="272727" w:themeColor="text1" w:themeTint="D8"/>
    </w:rPr>
  </w:style>
  <w:style w:type="paragraph" w:styleId="P10">
    <w:name w:val="Title"/>
    <w:basedOn w:val="P0"/>
    <w:next w:val="P0"/>
    <w:link w:val="C12"/>
    <w:qFormat/>
    <w:pPr>
      <w:spacing w:before="0" w:after="80" w:beforeAutospacing="0" w:afterAutospacing="0"/>
      <w:contextualSpacing w:val="1"/>
    </w:pPr>
    <w:rPr>
      <w:rFonts w:asciiTheme="majorHAnsi" w:hAnsiTheme="majorHAnsi" w:cstheme="majorBidi" w:eastAsiaTheme="majorEastAsia"/>
      <w:sz w:val="56"/>
      <w:szCs w:val="56"/>
      <w:spacing w:val="-10"/>
      <w:kern w:val="28"/>
    </w:rPr>
  </w:style>
  <w:style w:type="paragraph" w:styleId="P11">
    <w:name w:val="Subtitle"/>
    <w:basedOn w:val="P0"/>
    <w:next w:val="P0"/>
    <w:link w:val="C13"/>
    <w:qFormat/>
    <w:pPr>
      <w:spacing w:after="160" w:beforeAutospacing="0" w:afterAutospacing="0"/>
      <w:ind w:left="1701"/>
    </w:pPr>
    <w:rPr>
      <w:rFonts w:cstheme="majorBidi" w:eastAsiaTheme="majorEastAsia"/>
      <w:color w:val="595959" w:themeColor="text1" w:themeTint="A6"/>
      <w:sz w:val="28"/>
      <w:szCs w:val="28"/>
      <w:spacing w:val="15"/>
    </w:rPr>
  </w:style>
  <w:style w:type="paragraph" w:styleId="P12">
    <w:name w:val="Quote"/>
    <w:basedOn w:val="P0"/>
    <w:next w:val="P0"/>
    <w:link w:val="C14"/>
    <w:qFormat/>
    <w:pPr>
      <w:spacing w:before="160" w:after="160" w:beforeAutospacing="0" w:afterAutospacing="0"/>
      <w:jc w:val="center"/>
    </w:pPr>
    <w:rPr>
      <w:i w:val="1"/>
      <w:iCs w:val="1"/>
      <w:color w:val="404040" w:themeColor="text1" w:themeTint="BF"/>
    </w:rPr>
  </w:style>
  <w:style w:type="paragraph" w:styleId="P13">
    <w:name w:val="List Paragraph"/>
    <w:basedOn w:val="P0"/>
    <w:qFormat/>
    <w:pPr>
      <w:ind w:left="720"/>
      <w:contextualSpacing w:val="1"/>
    </w:pPr>
    <w:rPr/>
  </w:style>
  <w:style w:type="paragraph" w:styleId="P14">
    <w:name w:val="Intense Quote"/>
    <w:basedOn w:val="P0"/>
    <w:next w:val="P0"/>
    <w:link w:val="C16"/>
    <w:qFormat/>
    <w:pPr>
      <w:pBdr>
        <w:top w:val="single" w:sz="4" w:space="10" w:shadow="0" w:frame="0" w:color="2F5496" w:themeColor="accent1" w:themeShade="BF"/>
        <w:left w:val="none" w:sz="0" w:space="0" w:shadow="0" w:frame="0" w:color="auto"/>
        <w:bottom w:val="single" w:sz="4" w:space="10" w:shadow="0" w:frame="0" w:color="2F5496" w:themeColor="accent1" w:themeShade="BF"/>
        <w:right w:val="none" w:sz="0" w:space="0" w:shadow="0" w:frame="0" w:color="auto"/>
        <w:between w:val="none" w:sz="0" w:space="0" w:shadow="0" w:frame="0" w:color="auto"/>
      </w:pBdr>
      <w:spacing w:before="360" w:after="360" w:beforeAutospacing="0" w:afterAutospacing="0"/>
      <w:ind w:left="864" w:right="864"/>
      <w:jc w:val="center"/>
    </w:pPr>
    <w:rPr>
      <w:i w:val="1"/>
      <w:iCs w:val="1"/>
      <w:color w:val="2F5496" w:themeColor="accent1" w:themeShade="BF"/>
    </w:rPr>
  </w:style>
  <w:style w:type="paragraph" w:styleId="P15">
    <w:name w:val="Header"/>
    <w:basedOn w:val="P0"/>
    <w:link w:val="C18"/>
    <w:pPr>
      <w:tabs>
        <w:tab w:val="center" w:pos="4819" w:leader="none"/>
        <w:tab w:val="right" w:pos="9638" w:leader="none"/>
      </w:tabs>
      <w:spacing w:before="0" w:beforeAutospacing="0" w:afterAutospacing="0"/>
    </w:pPr>
    <w:rPr/>
  </w:style>
  <w:style w:type="paragraph" w:styleId="P16">
    <w:name w:val="Footer"/>
    <w:basedOn w:val="P0"/>
    <w:link w:val="C19"/>
    <w:pPr>
      <w:tabs>
        <w:tab w:val="center" w:pos="4819" w:leader="none"/>
        <w:tab w:val="right" w:pos="9638" w:leader="none"/>
      </w:tabs>
      <w:spacing w:before="0" w:beforeAutospacing="0" w:afterAutospacing="0"/>
    </w:pPr>
    <w:rPr/>
  </w:style>
  <w:style w:type="paragraph" w:styleId="P17">
    <w:name w:val="Footnote Text"/>
    <w:link w:val="C21"/>
    <w:semiHidden/>
    <w:pPr>
      <w:spacing w:lineRule="auto" w:line="240" w:after="0"/>
    </w:pPr>
    <w:rPr>
      <w:sz w:val="20"/>
      <w:szCs w:val="20"/>
    </w:rPr>
  </w:style>
  <w:style w:type="paragraph" w:styleId="P18">
    <w:name w:val="Endnote Text"/>
    <w:link w:val="C23"/>
    <w:semiHidden/>
    <w:pPr>
      <w:spacing w:lineRule="auto" w:line="240" w:after="0"/>
    </w:pPr>
    <w:rPr>
      <w:sz w:val="20"/>
      <w:szCs w:val="20"/>
    </w:rPr>
  </w:style>
  <w:style w:type="character" w:styleId="C0" w:default="1">
    <w:name w:val="Default Paragraph Font"/>
    <w:rPr/>
  </w:style>
  <w:style w:type="character" w:styleId="C1">
    <w:name w:val="Line Number"/>
    <w:basedOn w:val="C0"/>
    <w:semiHidden/>
    <w:rPr/>
  </w:style>
  <w:style w:type="character" w:styleId="C2">
    <w:name w:val="Hyperlink"/>
    <w:rPr>
      <w:color w:val="0000FF"/>
      <w:u w:val="single"/>
    </w:rPr>
  </w:style>
  <w:style w:type="character" w:styleId="C3">
    <w:name w:val="Titolo 1 Carattere"/>
    <w:basedOn w:val="C0"/>
    <w:link w:val="P1"/>
    <w:rPr>
      <w:rFonts w:asciiTheme="majorHAnsi" w:hAnsiTheme="majorHAnsi" w:cstheme="majorBidi" w:eastAsiaTheme="majorEastAsia"/>
      <w:color w:val="2F5496" w:themeColor="accent1" w:themeShade="BF"/>
      <w:sz w:val="40"/>
      <w:szCs w:val="40"/>
    </w:rPr>
  </w:style>
  <w:style w:type="character" w:styleId="C4">
    <w:name w:val="Titolo 2 Carattere"/>
    <w:basedOn w:val="C0"/>
    <w:link w:val="P2"/>
    <w:semiHidden/>
    <w:rPr>
      <w:rFonts w:asciiTheme="majorHAnsi" w:hAnsiTheme="majorHAnsi" w:cstheme="majorBidi" w:eastAsiaTheme="majorEastAsia"/>
      <w:color w:val="2F5496" w:themeColor="accent1" w:themeShade="BF"/>
      <w:sz w:val="32"/>
      <w:szCs w:val="32"/>
    </w:rPr>
  </w:style>
  <w:style w:type="character" w:styleId="C5">
    <w:name w:val="Titolo 3 Carattere"/>
    <w:basedOn w:val="C0"/>
    <w:link w:val="P3"/>
    <w:semiHidden/>
    <w:rPr>
      <w:rFonts w:cstheme="majorBidi" w:eastAsiaTheme="majorEastAsia"/>
      <w:color w:val="2F5496" w:themeColor="accent1" w:themeShade="BF"/>
      <w:sz w:val="28"/>
      <w:szCs w:val="28"/>
    </w:rPr>
  </w:style>
  <w:style w:type="character" w:styleId="C6">
    <w:name w:val="Titolo 4 Carattere"/>
    <w:basedOn w:val="C0"/>
    <w:link w:val="P4"/>
    <w:semiHidden/>
    <w:rPr>
      <w:rFonts w:cstheme="majorBidi" w:eastAsiaTheme="majorEastAsia"/>
      <w:i w:val="1"/>
      <w:iCs w:val="1"/>
      <w:color w:val="2F5496" w:themeColor="accent1" w:themeShade="BF"/>
    </w:rPr>
  </w:style>
  <w:style w:type="character" w:styleId="C7">
    <w:name w:val="Titolo 5 Carattere"/>
    <w:basedOn w:val="C0"/>
    <w:link w:val="P5"/>
    <w:semiHidden/>
    <w:rPr>
      <w:rFonts w:cstheme="majorBidi" w:eastAsiaTheme="majorEastAsia"/>
      <w:color w:val="2F5496" w:themeColor="accent1" w:themeShade="BF"/>
    </w:rPr>
  </w:style>
  <w:style w:type="character" w:styleId="C8">
    <w:name w:val="Titolo 6 Carattere"/>
    <w:basedOn w:val="C0"/>
    <w:link w:val="P6"/>
    <w:semiHidden/>
    <w:rPr>
      <w:rFonts w:cstheme="majorBidi" w:eastAsiaTheme="majorEastAsia"/>
      <w:i w:val="1"/>
      <w:iCs w:val="1"/>
      <w:color w:val="595959" w:themeColor="text1" w:themeTint="A6"/>
    </w:rPr>
  </w:style>
  <w:style w:type="character" w:styleId="C9">
    <w:name w:val="Titolo 7 Carattere"/>
    <w:basedOn w:val="C0"/>
    <w:link w:val="P7"/>
    <w:semiHidden/>
    <w:rPr>
      <w:rFonts w:cstheme="majorBidi" w:eastAsiaTheme="majorEastAsia"/>
      <w:color w:val="595959" w:themeColor="text1" w:themeTint="A6"/>
    </w:rPr>
  </w:style>
  <w:style w:type="character" w:styleId="C10">
    <w:name w:val="Titolo 8 Carattere"/>
    <w:basedOn w:val="C0"/>
    <w:link w:val="P8"/>
    <w:semiHidden/>
    <w:rPr>
      <w:rFonts w:cstheme="majorBidi" w:eastAsiaTheme="majorEastAsia"/>
      <w:i w:val="1"/>
      <w:iCs w:val="1"/>
      <w:color w:val="272727" w:themeColor="text1" w:themeTint="D8"/>
    </w:rPr>
  </w:style>
  <w:style w:type="character" w:styleId="C11">
    <w:name w:val="Titolo 9 Carattere"/>
    <w:basedOn w:val="C0"/>
    <w:link w:val="P9"/>
    <w:semiHidden/>
    <w:rPr>
      <w:rFonts w:cstheme="majorBidi" w:eastAsiaTheme="majorEastAsia"/>
      <w:color w:val="272727" w:themeColor="text1" w:themeTint="D8"/>
    </w:rPr>
  </w:style>
  <w:style w:type="character" w:styleId="C12">
    <w:name w:val="Titolo Carattere"/>
    <w:basedOn w:val="C0"/>
    <w:link w:val="P10"/>
    <w:rPr>
      <w:rFonts w:asciiTheme="majorHAnsi" w:hAnsiTheme="majorHAnsi" w:cstheme="majorBidi" w:eastAsiaTheme="majorEastAsia"/>
      <w:sz w:val="56"/>
      <w:szCs w:val="56"/>
      <w:spacing w:val="-10"/>
      <w:kern w:val="28"/>
    </w:rPr>
  </w:style>
  <w:style w:type="character" w:styleId="C13">
    <w:name w:val="Sottotitolo Carattere"/>
    <w:basedOn w:val="C0"/>
    <w:link w:val="P11"/>
    <w:rPr>
      <w:rFonts w:cstheme="majorBidi" w:eastAsiaTheme="majorEastAsia"/>
      <w:color w:val="595959" w:themeColor="text1" w:themeTint="A6"/>
      <w:sz w:val="28"/>
      <w:szCs w:val="28"/>
      <w:spacing w:val="15"/>
    </w:rPr>
  </w:style>
  <w:style w:type="character" w:styleId="C14">
    <w:name w:val="Citazione Carattere"/>
    <w:basedOn w:val="C0"/>
    <w:link w:val="P12"/>
    <w:rPr>
      <w:i w:val="1"/>
      <w:iCs w:val="1"/>
      <w:color w:val="404040" w:themeColor="text1" w:themeTint="BF"/>
    </w:rPr>
  </w:style>
  <w:style w:type="character" w:styleId="C15">
    <w:name w:val="Intense Emphasis"/>
    <w:basedOn w:val="C0"/>
    <w:qFormat/>
    <w:rPr>
      <w:i w:val="1"/>
      <w:iCs w:val="1"/>
      <w:color w:val="2F5496" w:themeColor="accent1" w:themeShade="BF"/>
    </w:rPr>
  </w:style>
  <w:style w:type="character" w:styleId="C16">
    <w:name w:val="Citazione intensa Carattere"/>
    <w:basedOn w:val="C0"/>
    <w:link w:val="P14"/>
    <w:rPr>
      <w:i w:val="1"/>
      <w:iCs w:val="1"/>
      <w:color w:val="2F5496" w:themeColor="accent1" w:themeShade="BF"/>
    </w:rPr>
  </w:style>
  <w:style w:type="character" w:styleId="C17">
    <w:name w:val="Intense Reference1"/>
    <w:basedOn w:val="C0"/>
    <w:qFormat/>
    <w:rPr>
      <w:b w:val="1"/>
      <w:bCs w:val="1"/>
      <w:smallCaps w:val="1"/>
      <w:color w:val="2F5496" w:themeColor="accent1" w:themeShade="BF"/>
      <w:spacing w:val="5"/>
    </w:rPr>
  </w:style>
  <w:style w:type="character" w:styleId="C18">
    <w:name w:val="Intestazione Carattere"/>
    <w:basedOn w:val="C0"/>
    <w:link w:val="P15"/>
    <w:rPr/>
  </w:style>
  <w:style w:type="character" w:styleId="C19">
    <w:name w:val="Piè di pagina Carattere"/>
    <w:basedOn w:val="C0"/>
    <w:link w:val="P16"/>
    <w:rPr/>
  </w:style>
  <w:style w:type="character" w:styleId="C20">
    <w:name w:val="Footnote Reference"/>
    <w:semiHidden/>
    <w:rPr>
      <w:vertAlign w:val="superscript"/>
    </w:rPr>
  </w:style>
  <w:style w:type="character" w:styleId="C21">
    <w:name w:val="Footnote Text Char"/>
    <w:link w:val="P17"/>
    <w:semiHidden/>
    <w:rPr>
      <w:sz w:val="20"/>
      <w:szCs w:val="20"/>
    </w:rPr>
  </w:style>
  <w:style w:type="character" w:styleId="C22">
    <w:name w:val="Endnote Reference"/>
    <w:semiHidden/>
    <w:rPr>
      <w:vertAlign w:val="superscript"/>
    </w:rPr>
  </w:style>
  <w:style w:type="character" w:styleId="C23">
    <w:name w:val="Endnote Text Char"/>
    <w:link w:val="P18"/>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Hdr1" Type="http://schemas.openxmlformats.org/officeDocument/2006/relationships/header" Target="header1.xml" /><Relationship Id="RelHdr2" Type="http://schemas.openxmlformats.org/officeDocument/2006/relationships/header" Target="header2.xml" /><Relationship Id="RelHdr3" Type="http://schemas.openxmlformats.org/officeDocument/2006/relationships/header" Target="header3.xml" /><Relationship Id="RelFtr1" Type="http://schemas.openxmlformats.org/officeDocument/2006/relationships/footer" Target="footer1.xml" /><Relationship Id="RelFtr2" Type="http://schemas.openxmlformats.org/officeDocument/2006/relationships/footer" Target="footer2.xml" /><Relationship Id="RelFtr3" Type="http://schemas.openxmlformats.org/officeDocument/2006/relationships/footer" Target="footer3.xml" /><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er1.xml.rels>&#65279;<?xml version="1.0" encoding="utf-8"?><Relationships xmlns="http://schemas.openxmlformats.org/package/2006/relationships" />
</file>

<file path=word/_rels/footer2.xml.rels>&#65279;<?xml version="1.0" encoding="utf-8"?><Relationships xmlns="http://schemas.openxmlformats.org/package/2006/relationships" />
</file>

<file path=word/_rels/footer3.xml.rels>&#65279;<?xml version="1.0" encoding="utf-8"?><Relationships xmlns="http://schemas.openxmlformats.org/package/2006/relationships" />
</file>

<file path=word/_rels/footnotes.xml.rels>&#65279;<?xml version="1.0" encoding="utf-8"?><Relationships xmlns="http://schemas.openxmlformats.org/package/2006/relationships" />
</file>

<file path=word/_rels/header1.xml.rels>&#65279;<?xml version="1.0" encoding="utf-8"?><Relationships xmlns="http://schemas.openxmlformats.org/package/2006/relationships" />
</file>

<file path=word/_rels/header2.xml.rels>&#65279;<?xml version="1.0" encoding="utf-8"?><Relationships xmlns="http://schemas.openxmlformats.org/package/2006/relationships" />
</file>

<file path=word/_rels/header3.xml.rels>&#65279;<?xml version="1.0" encoding="utf-8"?><Relationships xmlns="http://schemas.openxmlformats.org/package/2006/relationships" />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272fbe-bdce-46f0-8fd8-0bafd1ac8821}">
  <ds:schemaRefs>
    <ds:schemaRef ds:uri="http://schemas.microsoft.com/vsto/samples"/>
  </ds:schemaRefs>
</ds:datastoreItem>
</file>

<file path=docProps/app.xml><?xml version="1.0" encoding="utf-8"?>
<Properties xmlns="http://schemas.openxmlformats.org/officeDocument/2006/extended-properties">
  <Application>DevExpress Office File API/22.1.4.0</Application>
  <AppVersion>22.1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Daniele Ferlito</dc:creator>
  <dcterms:created xsi:type="dcterms:W3CDTF">2025-10-13T12:53:18Z</dcterms:created>
  <dcterms:modified xsi:type="dcterms:W3CDTF">2025-10-13T12:53:18Z</dcterms:modified>
  <cp:revision>2</cp:revision>
</cp:coreProperties>
</file>