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D7CCF" w14:textId="7BAE51A7" w:rsidR="0063152B" w:rsidRDefault="002B7E94" w:rsidP="002B7E94">
      <w:pPr>
        <w:pStyle w:val="Titolo1"/>
        <w:jc w:val="center"/>
      </w:pPr>
      <w:r>
        <w:t>LA MONETA</w:t>
      </w:r>
    </w:p>
    <w:p w14:paraId="69404EAD" w14:textId="0D14151D" w:rsidR="002B7E94" w:rsidRPr="002B7E94" w:rsidRDefault="002B7E94" w:rsidP="002B7E94">
      <w:pPr>
        <w:ind w:left="0" w:right="-1"/>
        <w:jc w:val="both"/>
        <w:rPr>
          <w:sz w:val="28"/>
          <w:szCs w:val="28"/>
        </w:rPr>
      </w:pPr>
      <w:r w:rsidRPr="002B7E94">
        <w:rPr>
          <w:sz w:val="28"/>
          <w:szCs w:val="28"/>
        </w:rPr>
        <w:t xml:space="preserve">La </w:t>
      </w:r>
      <w:r w:rsidRPr="002B7E94">
        <w:rPr>
          <w:b/>
          <w:bCs/>
          <w:sz w:val="28"/>
          <w:szCs w:val="28"/>
        </w:rPr>
        <w:t>moneta</w:t>
      </w:r>
      <w:r w:rsidRPr="002B7E94">
        <w:rPr>
          <w:sz w:val="28"/>
          <w:szCs w:val="28"/>
        </w:rPr>
        <w:t xml:space="preserve"> è una merce creata dagli uomini allo scopo di semplificare le operazioni di scambio di beni e servizi, ed è perciò uno strumento fondamentale delle attività economiche. </w:t>
      </w:r>
    </w:p>
    <w:p w14:paraId="631722E7" w14:textId="77777777" w:rsidR="002B7E94" w:rsidRPr="002B7E94" w:rsidRDefault="002B7E94" w:rsidP="002B7E94">
      <w:pPr>
        <w:ind w:left="0" w:right="-1"/>
        <w:jc w:val="both"/>
        <w:rPr>
          <w:sz w:val="28"/>
          <w:szCs w:val="28"/>
        </w:rPr>
      </w:pPr>
      <w:r w:rsidRPr="002B7E94">
        <w:rPr>
          <w:sz w:val="28"/>
          <w:szCs w:val="28"/>
        </w:rPr>
        <w:t>La moneta ha diverse funzioni:</w:t>
      </w:r>
    </w:p>
    <w:p w14:paraId="4AD84BDE" w14:textId="3E069E56"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mezzo di scambio</w:t>
      </w:r>
      <w:r w:rsidRPr="002B7E94">
        <w:rPr>
          <w:sz w:val="28"/>
          <w:szCs w:val="28"/>
        </w:rPr>
        <w:t>, poiché è lo strumento che viene dato in cambio di beni e servizi. Per questa sua funzione particolare si dice che la moneta è “intermediaria degli scambi”;</w:t>
      </w:r>
    </w:p>
    <w:p w14:paraId="66E35E03" w14:textId="1EF51EAA"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mezzo di pagamento,</w:t>
      </w:r>
      <w:r w:rsidRPr="002B7E94">
        <w:rPr>
          <w:sz w:val="28"/>
          <w:szCs w:val="28"/>
        </w:rPr>
        <w:t xml:space="preserve"> poiché è utilizzata nel pagamento di beni e servizi;</w:t>
      </w:r>
    </w:p>
    <w:p w14:paraId="3B9A752D" w14:textId="3CA615EE"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riserva di valore</w:t>
      </w:r>
      <w:r w:rsidRPr="002B7E94">
        <w:rPr>
          <w:sz w:val="28"/>
          <w:szCs w:val="28"/>
        </w:rPr>
        <w:t xml:space="preserve">, perché può essere conservata e accumulata per acquisti futuri; </w:t>
      </w:r>
    </w:p>
    <w:p w14:paraId="2F8E2241" w14:textId="77777777"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misura di valore</w:t>
      </w:r>
      <w:r w:rsidRPr="002B7E94">
        <w:rPr>
          <w:sz w:val="28"/>
          <w:szCs w:val="28"/>
        </w:rPr>
        <w:t xml:space="preserve">, poiché esprime il valore di beni e servizi. </w:t>
      </w:r>
    </w:p>
    <w:p w14:paraId="6F16D054" w14:textId="65A1C312" w:rsidR="002B7E94" w:rsidRPr="002B7E94" w:rsidRDefault="002B7E94" w:rsidP="002B7E94">
      <w:pPr>
        <w:ind w:left="0" w:right="-1"/>
        <w:jc w:val="both"/>
        <w:rPr>
          <w:sz w:val="28"/>
          <w:szCs w:val="28"/>
        </w:rPr>
      </w:pPr>
      <w:r w:rsidRPr="002B7E94">
        <w:rPr>
          <w:sz w:val="28"/>
          <w:szCs w:val="28"/>
        </w:rPr>
        <w:t>ESEMPIO</w:t>
      </w:r>
      <w:r>
        <w:rPr>
          <w:sz w:val="28"/>
          <w:szCs w:val="28"/>
        </w:rPr>
        <w:t>:</w:t>
      </w:r>
      <w:r w:rsidRPr="002B7E94">
        <w:rPr>
          <w:sz w:val="28"/>
          <w:szCs w:val="28"/>
        </w:rPr>
        <w:t xml:space="preserve"> Tutti i beni e i servizi che acquistiamo hanno un prezzo. Il prezzo è il valore monetario (espresso in moneta) dei beni e dei servizi. Se un pc costa 1200 euro, vuol dire che il suo valore monetario (prezzo) è di 1200 euro. </w:t>
      </w:r>
    </w:p>
    <w:p w14:paraId="21EDD9C7" w14:textId="76653C2E" w:rsidR="002B7E94" w:rsidRPr="002B7E94" w:rsidRDefault="002B7E94" w:rsidP="002B7E94">
      <w:pPr>
        <w:ind w:left="0" w:right="-1"/>
        <w:jc w:val="both"/>
        <w:rPr>
          <w:sz w:val="28"/>
          <w:szCs w:val="28"/>
        </w:rPr>
      </w:pPr>
      <w:r w:rsidRPr="002B7E94">
        <w:rPr>
          <w:sz w:val="28"/>
          <w:szCs w:val="28"/>
        </w:rPr>
        <w:t xml:space="preserve">Per svolgere le sue funzioni, soprattutto la funzione di intermediazione, la moneta deve avere alcune caratteristiche. In particolare, la moneta deve essere: </w:t>
      </w:r>
    </w:p>
    <w:p w14:paraId="6D5A88B8" w14:textId="24C2AEAB"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facilmente trasferibile</w:t>
      </w:r>
      <w:r w:rsidRPr="002B7E94">
        <w:rPr>
          <w:sz w:val="28"/>
          <w:szCs w:val="28"/>
        </w:rPr>
        <w:t xml:space="preserve">: deve cioè essere spostata facilmente da un luogo a un altro e da un soggetto all’altro; </w:t>
      </w:r>
    </w:p>
    <w:p w14:paraId="453BEA1D" w14:textId="77777777"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conservabile</w:t>
      </w:r>
      <w:r w:rsidRPr="002B7E94">
        <w:rPr>
          <w:sz w:val="28"/>
          <w:szCs w:val="28"/>
        </w:rPr>
        <w:t xml:space="preserve">: deve poter durare nel tempo, senza deteriorarsi; </w:t>
      </w:r>
    </w:p>
    <w:p w14:paraId="26912A56" w14:textId="77777777" w:rsidR="002B7E94" w:rsidRPr="002B7E94" w:rsidRDefault="002B7E94" w:rsidP="002B7E94">
      <w:pPr>
        <w:ind w:left="0" w:right="-1"/>
        <w:jc w:val="both"/>
        <w:rPr>
          <w:sz w:val="28"/>
          <w:szCs w:val="28"/>
        </w:rPr>
      </w:pPr>
      <w:r w:rsidRPr="002B7E94">
        <w:rPr>
          <w:sz w:val="28"/>
          <w:szCs w:val="28"/>
        </w:rPr>
        <w:t>•</w:t>
      </w:r>
      <w:r w:rsidRPr="002B7E94">
        <w:rPr>
          <w:b/>
          <w:bCs/>
          <w:sz w:val="28"/>
          <w:szCs w:val="28"/>
        </w:rPr>
        <w:t xml:space="preserve"> divisibile</w:t>
      </w:r>
      <w:r w:rsidRPr="002B7E94">
        <w:rPr>
          <w:sz w:val="28"/>
          <w:szCs w:val="28"/>
        </w:rPr>
        <w:t>: deve poter essere divisa in unità anche molto piccole.</w:t>
      </w:r>
    </w:p>
    <w:p w14:paraId="47F8EC7E" w14:textId="0FA44536" w:rsidR="002B7E94" w:rsidRPr="002B7E94" w:rsidRDefault="002B7E94" w:rsidP="002B7E94">
      <w:pPr>
        <w:ind w:left="0" w:right="-1"/>
        <w:jc w:val="both"/>
        <w:rPr>
          <w:sz w:val="28"/>
          <w:szCs w:val="28"/>
        </w:rPr>
      </w:pPr>
      <w:r w:rsidRPr="002B7E94">
        <w:rPr>
          <w:sz w:val="28"/>
          <w:szCs w:val="28"/>
        </w:rPr>
        <w:t>In passato le funzioni che oggi attribuiamo alla moneta erano svolte dai metalli, come l’oro e l’argento, che venivano trasformati in monete di diverso valore. Il valore delle diverse monete era espresso dal conio. La complessità sempre maggiore dei sistemi economici ha reso necessaria la sostituzione dei metalli con la carta-moneta, una moneta costituita da foglietti di carta speciale, filigranata, sui quali sono stampate tutte le informazioni utili per certificare il suo “valore” e la sua autenticit</w:t>
      </w:r>
      <w:r w:rsidRPr="002B7E94">
        <w:rPr>
          <w:rFonts w:ascii="Calibri" w:hAnsi="Calibri" w:cs="Calibri"/>
          <w:sz w:val="28"/>
          <w:szCs w:val="28"/>
        </w:rPr>
        <w:t>à</w:t>
      </w:r>
      <w:r w:rsidRPr="002B7E94">
        <w:rPr>
          <w:sz w:val="28"/>
          <w:szCs w:val="28"/>
        </w:rPr>
        <w:t xml:space="preserve">. </w:t>
      </w:r>
    </w:p>
    <w:p w14:paraId="1CFF484A" w14:textId="08851188" w:rsidR="002B7E94" w:rsidRDefault="002B7E94" w:rsidP="002B7E94">
      <w:pPr>
        <w:ind w:left="0" w:right="-1"/>
        <w:jc w:val="both"/>
        <w:rPr>
          <w:sz w:val="28"/>
          <w:szCs w:val="28"/>
        </w:rPr>
      </w:pPr>
      <w:r w:rsidRPr="002B7E94">
        <w:rPr>
          <w:sz w:val="28"/>
          <w:szCs w:val="28"/>
        </w:rPr>
        <w:t xml:space="preserve">Negli Stati contemporanei l’emissione di carta-moneta è riservata alla </w:t>
      </w:r>
      <w:r w:rsidRPr="002B7E94">
        <w:rPr>
          <w:b/>
          <w:bCs/>
          <w:sz w:val="28"/>
          <w:szCs w:val="28"/>
        </w:rPr>
        <w:t>Banca centrale</w:t>
      </w:r>
      <w:r w:rsidRPr="002B7E94">
        <w:rPr>
          <w:sz w:val="28"/>
          <w:szCs w:val="28"/>
        </w:rPr>
        <w:t>, o istituto di emissione.</w:t>
      </w:r>
      <w:r>
        <w:rPr>
          <w:sz w:val="28"/>
          <w:szCs w:val="28"/>
        </w:rPr>
        <w:t xml:space="preserve"> </w:t>
      </w:r>
    </w:p>
    <w:p w14:paraId="7A0CD826" w14:textId="01089A8A" w:rsidR="002B7E94" w:rsidRPr="002B7E94" w:rsidRDefault="002B7E94" w:rsidP="002B7E94">
      <w:pPr>
        <w:ind w:left="0" w:right="-1"/>
        <w:jc w:val="both"/>
        <w:rPr>
          <w:sz w:val="28"/>
          <w:szCs w:val="28"/>
        </w:rPr>
      </w:pPr>
      <w:r w:rsidRPr="002B7E94">
        <w:rPr>
          <w:sz w:val="28"/>
          <w:szCs w:val="28"/>
        </w:rPr>
        <w:t xml:space="preserve">La moneta in circolazione in un determinato paese </w:t>
      </w:r>
      <w:r w:rsidRPr="002B7E94">
        <w:rPr>
          <w:rFonts w:ascii="Calibri" w:hAnsi="Calibri" w:cs="Calibri"/>
          <w:sz w:val="28"/>
          <w:szCs w:val="28"/>
        </w:rPr>
        <w:t>è</w:t>
      </w:r>
      <w:r w:rsidRPr="002B7E94">
        <w:rPr>
          <w:sz w:val="28"/>
          <w:szCs w:val="28"/>
        </w:rPr>
        <w:t xml:space="preserve"> chiamata</w:t>
      </w:r>
      <w:r w:rsidRPr="002B7E94">
        <w:rPr>
          <w:b/>
          <w:bCs/>
          <w:sz w:val="28"/>
          <w:szCs w:val="28"/>
        </w:rPr>
        <w:t xml:space="preserve"> valuta</w:t>
      </w:r>
      <w:r w:rsidRPr="002B7E94">
        <w:rPr>
          <w:sz w:val="28"/>
          <w:szCs w:val="28"/>
        </w:rPr>
        <w:t xml:space="preserve">, ed </w:t>
      </w:r>
      <w:r w:rsidRPr="002B7E94">
        <w:rPr>
          <w:rFonts w:ascii="Calibri" w:hAnsi="Calibri" w:cs="Calibri"/>
          <w:sz w:val="28"/>
          <w:szCs w:val="28"/>
        </w:rPr>
        <w:t>è</w:t>
      </w:r>
      <w:r w:rsidRPr="002B7E94">
        <w:rPr>
          <w:sz w:val="28"/>
          <w:szCs w:val="28"/>
        </w:rPr>
        <w:t xml:space="preserve"> formata da banconote e monete metalliche a cui l’autorità monetaria ha attribuito </w:t>
      </w:r>
      <w:r w:rsidRPr="002B7E94">
        <w:rPr>
          <w:b/>
          <w:bCs/>
          <w:sz w:val="28"/>
          <w:szCs w:val="28"/>
        </w:rPr>
        <w:t>corso legale</w:t>
      </w:r>
      <w:r w:rsidRPr="002B7E94">
        <w:rPr>
          <w:sz w:val="28"/>
          <w:szCs w:val="28"/>
        </w:rPr>
        <w:t>, obbligando tutti i soggetti economici ad utilizzarla come mezzo di pagamento e ad accettarla in pagamento.</w:t>
      </w:r>
    </w:p>
    <w:p w14:paraId="573CDE66" w14:textId="316D21AB" w:rsidR="002B7E94" w:rsidRDefault="002B7E94" w:rsidP="002B7E94">
      <w:pPr>
        <w:ind w:left="0" w:right="-1"/>
        <w:jc w:val="both"/>
        <w:rPr>
          <w:sz w:val="28"/>
          <w:szCs w:val="28"/>
        </w:rPr>
      </w:pPr>
      <w:r w:rsidRPr="002B7E94">
        <w:rPr>
          <w:sz w:val="28"/>
          <w:szCs w:val="28"/>
        </w:rPr>
        <w:t xml:space="preserve">In Italia oggi la circolazione delle monete è regolata dalla </w:t>
      </w:r>
      <w:r w:rsidRPr="002B7E94">
        <w:rPr>
          <w:b/>
          <w:bCs/>
          <w:sz w:val="28"/>
          <w:szCs w:val="28"/>
        </w:rPr>
        <w:t>Banca centrale europea (BCE)</w:t>
      </w:r>
      <w:r w:rsidRPr="002B7E94">
        <w:rPr>
          <w:sz w:val="28"/>
          <w:szCs w:val="28"/>
        </w:rPr>
        <w:t>, come avviene in tutti i paesi che hanno adottato l’euro.</w:t>
      </w:r>
    </w:p>
    <w:p w14:paraId="2C5E965A" w14:textId="270DB36F" w:rsidR="002B7E94" w:rsidRDefault="002B7E94" w:rsidP="002B7E94">
      <w:pPr>
        <w:pStyle w:val="Titolo1"/>
        <w:jc w:val="center"/>
      </w:pPr>
      <w:r>
        <w:lastRenderedPageBreak/>
        <w:t>IL VALORE DELLA MONETA</w:t>
      </w:r>
    </w:p>
    <w:p w14:paraId="1C405112" w14:textId="77777777" w:rsidR="002B7E94" w:rsidRPr="002B7E94" w:rsidRDefault="002B7E94" w:rsidP="002B7E94">
      <w:pPr>
        <w:ind w:left="0" w:right="-1"/>
        <w:jc w:val="both"/>
        <w:rPr>
          <w:sz w:val="28"/>
          <w:szCs w:val="28"/>
        </w:rPr>
      </w:pPr>
      <w:r w:rsidRPr="002B7E94">
        <w:rPr>
          <w:sz w:val="28"/>
          <w:szCs w:val="28"/>
        </w:rPr>
        <w:t xml:space="preserve">La moneta ha un valore. L’espressione “valore della moneta” può essere </w:t>
      </w:r>
    </w:p>
    <w:p w14:paraId="6A72DCFA" w14:textId="6DCD38E9" w:rsidR="002B7E94" w:rsidRPr="002B7E94" w:rsidRDefault="002B7E94" w:rsidP="002B7E94">
      <w:pPr>
        <w:ind w:left="0" w:right="-1"/>
        <w:jc w:val="both"/>
        <w:rPr>
          <w:sz w:val="28"/>
          <w:szCs w:val="28"/>
        </w:rPr>
      </w:pPr>
      <w:r w:rsidRPr="002B7E94">
        <w:rPr>
          <w:sz w:val="28"/>
          <w:szCs w:val="28"/>
        </w:rPr>
        <w:t xml:space="preserve">utilizzata con quattro significati diversi: </w:t>
      </w:r>
    </w:p>
    <w:p w14:paraId="723825A5" w14:textId="57C51C97" w:rsidR="002B7E94" w:rsidRPr="002B7E94" w:rsidRDefault="002B7E94" w:rsidP="002B7E94">
      <w:pPr>
        <w:ind w:left="0" w:right="-1"/>
        <w:jc w:val="both"/>
        <w:rPr>
          <w:sz w:val="28"/>
          <w:szCs w:val="28"/>
        </w:rPr>
      </w:pPr>
      <w:r w:rsidRPr="002B7E94">
        <w:rPr>
          <w:sz w:val="28"/>
          <w:szCs w:val="28"/>
        </w:rPr>
        <w:t xml:space="preserve">• il </w:t>
      </w:r>
      <w:r w:rsidRPr="002B7E94">
        <w:rPr>
          <w:b/>
          <w:bCs/>
          <w:sz w:val="28"/>
          <w:szCs w:val="28"/>
        </w:rPr>
        <w:t>valore legale o nominale</w:t>
      </w:r>
      <w:r w:rsidRPr="002B7E94">
        <w:rPr>
          <w:sz w:val="28"/>
          <w:szCs w:val="28"/>
        </w:rPr>
        <w:t xml:space="preserve">, che è il valore imposto dallo Stato a una determinata banconota o moneta metallica, sulla quale è impresso il relativo ammontare; </w:t>
      </w:r>
    </w:p>
    <w:p w14:paraId="6F09151D" w14:textId="750D3FEC" w:rsidR="002B7E94" w:rsidRPr="002B7E94" w:rsidRDefault="002B7E94" w:rsidP="002B7E94">
      <w:pPr>
        <w:ind w:left="0" w:right="-1"/>
        <w:jc w:val="both"/>
        <w:rPr>
          <w:sz w:val="28"/>
          <w:szCs w:val="28"/>
        </w:rPr>
      </w:pPr>
      <w:r w:rsidRPr="002B7E94">
        <w:rPr>
          <w:sz w:val="28"/>
          <w:szCs w:val="28"/>
        </w:rPr>
        <w:t xml:space="preserve">• il </w:t>
      </w:r>
      <w:r w:rsidRPr="002B7E94">
        <w:rPr>
          <w:b/>
          <w:bCs/>
          <w:sz w:val="28"/>
          <w:szCs w:val="28"/>
        </w:rPr>
        <w:t>valore di scambio, o potere di acquisto</w:t>
      </w:r>
      <w:r w:rsidRPr="002B7E94">
        <w:rPr>
          <w:sz w:val="28"/>
          <w:szCs w:val="28"/>
        </w:rPr>
        <w:t>, che rappresenta la quantit</w:t>
      </w:r>
      <w:r w:rsidRPr="002B7E94">
        <w:rPr>
          <w:rFonts w:ascii="Calibri" w:hAnsi="Calibri" w:cs="Calibri"/>
          <w:sz w:val="28"/>
          <w:szCs w:val="28"/>
        </w:rPr>
        <w:t>à</w:t>
      </w:r>
      <w:r w:rsidRPr="002B7E94">
        <w:rPr>
          <w:sz w:val="28"/>
          <w:szCs w:val="28"/>
        </w:rPr>
        <w:t xml:space="preserve"> di beni e servizi che possono essere acquistati con l</w:t>
      </w:r>
      <w:r w:rsidRPr="002B7E94">
        <w:rPr>
          <w:rFonts w:ascii="Calibri" w:hAnsi="Calibri" w:cs="Calibri"/>
          <w:sz w:val="28"/>
          <w:szCs w:val="28"/>
        </w:rPr>
        <w:t>’</w:t>
      </w:r>
      <w:r w:rsidRPr="002B7E94">
        <w:rPr>
          <w:sz w:val="28"/>
          <w:szCs w:val="28"/>
        </w:rPr>
        <w:t>unit</w:t>
      </w:r>
      <w:r w:rsidRPr="002B7E94">
        <w:rPr>
          <w:rFonts w:ascii="Calibri" w:hAnsi="Calibri" w:cs="Calibri"/>
          <w:sz w:val="28"/>
          <w:szCs w:val="28"/>
        </w:rPr>
        <w:t>à</w:t>
      </w:r>
      <w:r w:rsidRPr="002B7E94">
        <w:rPr>
          <w:sz w:val="28"/>
          <w:szCs w:val="28"/>
        </w:rPr>
        <w:t xml:space="preserve"> di moneta; </w:t>
      </w:r>
    </w:p>
    <w:p w14:paraId="012A6357" w14:textId="122A8B31" w:rsidR="002B7E94" w:rsidRPr="002B7E94" w:rsidRDefault="002B7E94" w:rsidP="002B7E94">
      <w:pPr>
        <w:ind w:left="0" w:right="-1"/>
        <w:jc w:val="both"/>
        <w:rPr>
          <w:sz w:val="28"/>
          <w:szCs w:val="28"/>
        </w:rPr>
      </w:pPr>
      <w:r w:rsidRPr="002B7E94">
        <w:rPr>
          <w:sz w:val="28"/>
          <w:szCs w:val="28"/>
        </w:rPr>
        <w:t xml:space="preserve">• </w:t>
      </w:r>
      <w:r w:rsidRPr="002B7E94">
        <w:rPr>
          <w:b/>
          <w:bCs/>
          <w:sz w:val="28"/>
          <w:szCs w:val="28"/>
        </w:rPr>
        <w:t>il cambio</w:t>
      </w:r>
      <w:r w:rsidRPr="002B7E94">
        <w:rPr>
          <w:sz w:val="28"/>
          <w:szCs w:val="28"/>
        </w:rPr>
        <w:t xml:space="preserve">, che indica quanta moneta di un paese si può acquistare con quella di un altro. Le operazioni di cambio, essenzialmente legate agli scambi internazionali, derivano dalla diversa moneta dei vari Stati e permettono il pagamento di debiti o l’incasso di crediti verso l’estero, senza il trasferimento fisico della moneta. </w:t>
      </w:r>
    </w:p>
    <w:p w14:paraId="58FB8E1C" w14:textId="68365799" w:rsidR="002B7E94" w:rsidRPr="002B7E94" w:rsidRDefault="002B7E94" w:rsidP="002B7E94">
      <w:pPr>
        <w:ind w:left="0" w:right="-1"/>
        <w:jc w:val="both"/>
        <w:rPr>
          <w:sz w:val="28"/>
          <w:szCs w:val="28"/>
        </w:rPr>
      </w:pPr>
      <w:r w:rsidRPr="002B7E94">
        <w:rPr>
          <w:sz w:val="28"/>
          <w:szCs w:val="28"/>
        </w:rPr>
        <w:t>Il potere d’acquisto della moneta e il livello dei prezzi sono strettamente legati. Pi</w:t>
      </w:r>
      <w:r w:rsidRPr="002B7E94">
        <w:rPr>
          <w:rFonts w:ascii="Calibri" w:hAnsi="Calibri" w:cs="Calibri"/>
          <w:sz w:val="28"/>
          <w:szCs w:val="28"/>
        </w:rPr>
        <w:t>ù</w:t>
      </w:r>
      <w:r w:rsidRPr="002B7E94">
        <w:rPr>
          <w:sz w:val="28"/>
          <w:szCs w:val="28"/>
        </w:rPr>
        <w:t xml:space="preserve"> i prezzi sono alti, pi</w:t>
      </w:r>
      <w:r w:rsidRPr="002B7E94">
        <w:rPr>
          <w:rFonts w:ascii="Calibri" w:hAnsi="Calibri" w:cs="Calibri"/>
          <w:sz w:val="28"/>
          <w:szCs w:val="28"/>
        </w:rPr>
        <w:t>ù</w:t>
      </w:r>
      <w:r w:rsidRPr="002B7E94">
        <w:rPr>
          <w:sz w:val="28"/>
          <w:szCs w:val="28"/>
        </w:rPr>
        <w:t xml:space="preserve"> </w:t>
      </w:r>
      <w:r w:rsidRPr="002B7E94">
        <w:rPr>
          <w:rFonts w:ascii="Calibri" w:hAnsi="Calibri" w:cs="Calibri"/>
          <w:sz w:val="28"/>
          <w:szCs w:val="28"/>
        </w:rPr>
        <w:t>è</w:t>
      </w:r>
      <w:r w:rsidRPr="002B7E94">
        <w:rPr>
          <w:sz w:val="28"/>
          <w:szCs w:val="28"/>
        </w:rPr>
        <w:t xml:space="preserve"> basso il potere d</w:t>
      </w:r>
      <w:r w:rsidRPr="002B7E94">
        <w:rPr>
          <w:rFonts w:ascii="Calibri" w:hAnsi="Calibri" w:cs="Calibri"/>
          <w:sz w:val="28"/>
          <w:szCs w:val="28"/>
        </w:rPr>
        <w:t>’</w:t>
      </w:r>
      <w:r w:rsidRPr="002B7E94">
        <w:rPr>
          <w:sz w:val="28"/>
          <w:szCs w:val="28"/>
        </w:rPr>
        <w:t xml:space="preserve">acquisto della moneta. Al contrario, se i prezzi si abbassano, il potere di acquisto aumenta. </w:t>
      </w:r>
    </w:p>
    <w:p w14:paraId="294EBA29" w14:textId="03049CC7" w:rsidR="002B7E94" w:rsidRDefault="002B7E94" w:rsidP="002B7E94">
      <w:pPr>
        <w:ind w:left="0" w:right="-1"/>
        <w:jc w:val="both"/>
        <w:rPr>
          <w:sz w:val="28"/>
          <w:szCs w:val="28"/>
        </w:rPr>
      </w:pPr>
      <w:r w:rsidRPr="002B7E94">
        <w:rPr>
          <w:sz w:val="28"/>
          <w:szCs w:val="28"/>
        </w:rPr>
        <w:t xml:space="preserve">L’aumento persistente e generalizzato dei prezzi si definisce </w:t>
      </w:r>
      <w:r w:rsidRPr="002B7E94">
        <w:rPr>
          <w:b/>
          <w:bCs/>
          <w:sz w:val="28"/>
          <w:szCs w:val="28"/>
        </w:rPr>
        <w:t>inflazione</w:t>
      </w:r>
      <w:r w:rsidRPr="002B7E94">
        <w:rPr>
          <w:sz w:val="28"/>
          <w:szCs w:val="28"/>
        </w:rPr>
        <w:t>.</w:t>
      </w:r>
      <w:r>
        <w:rPr>
          <w:sz w:val="28"/>
          <w:szCs w:val="28"/>
        </w:rPr>
        <w:t xml:space="preserve"> Il </w:t>
      </w:r>
      <w:r w:rsidRPr="002B7E94">
        <w:rPr>
          <w:b/>
          <w:bCs/>
          <w:sz w:val="28"/>
          <w:szCs w:val="28"/>
        </w:rPr>
        <w:t>Tasso di inflazione</w:t>
      </w:r>
      <w:r>
        <w:rPr>
          <w:sz w:val="28"/>
          <w:szCs w:val="28"/>
        </w:rPr>
        <w:t>, invece, è l’i</w:t>
      </w:r>
      <w:r w:rsidRPr="002B7E94">
        <w:rPr>
          <w:sz w:val="28"/>
          <w:szCs w:val="28"/>
        </w:rPr>
        <w:t>ndice che esprime l’andamento dell’inflazione, cio</w:t>
      </w:r>
      <w:r w:rsidRPr="002B7E94">
        <w:rPr>
          <w:rFonts w:ascii="Calibri" w:hAnsi="Calibri" w:cs="Calibri"/>
          <w:sz w:val="28"/>
          <w:szCs w:val="28"/>
        </w:rPr>
        <w:t>è</w:t>
      </w:r>
      <w:r w:rsidRPr="002B7E94">
        <w:rPr>
          <w:sz w:val="28"/>
          <w:szCs w:val="28"/>
        </w:rPr>
        <w:t xml:space="preserve"> l</w:t>
      </w:r>
      <w:r w:rsidRPr="002B7E94">
        <w:rPr>
          <w:rFonts w:ascii="Calibri" w:hAnsi="Calibri" w:cs="Calibri"/>
          <w:sz w:val="28"/>
          <w:szCs w:val="28"/>
        </w:rPr>
        <w:t>’</w:t>
      </w:r>
      <w:r w:rsidRPr="002B7E94">
        <w:rPr>
          <w:sz w:val="28"/>
          <w:szCs w:val="28"/>
        </w:rPr>
        <w:t>aumento o la diminuzione dei prezzi in un anno. Il tasso di inflazione si esprime in percentuale (2%, 3% ecc.).</w:t>
      </w:r>
    </w:p>
    <w:p w14:paraId="0144E8E9" w14:textId="78E94D7D" w:rsidR="002B7E94" w:rsidRPr="002B7E94" w:rsidRDefault="002B7E94" w:rsidP="002B7E94">
      <w:pPr>
        <w:ind w:left="0" w:right="-1"/>
        <w:jc w:val="both"/>
        <w:rPr>
          <w:sz w:val="28"/>
          <w:szCs w:val="28"/>
        </w:rPr>
      </w:pPr>
      <w:r w:rsidRPr="002B7E94">
        <w:rPr>
          <w:sz w:val="28"/>
          <w:szCs w:val="28"/>
        </w:rPr>
        <w:t xml:space="preserve"> Esistono diversi stadi di inflazione, che si differenziano per la loro entità: </w:t>
      </w:r>
    </w:p>
    <w:p w14:paraId="023FAFEE" w14:textId="4BA91BD6" w:rsidR="002B7E94" w:rsidRPr="002B7E94" w:rsidRDefault="002B7E94" w:rsidP="002B7E94">
      <w:pPr>
        <w:ind w:left="0" w:right="-1"/>
        <w:jc w:val="both"/>
        <w:rPr>
          <w:sz w:val="28"/>
          <w:szCs w:val="28"/>
        </w:rPr>
      </w:pPr>
      <w:r w:rsidRPr="002B7E94">
        <w:rPr>
          <w:sz w:val="28"/>
          <w:szCs w:val="28"/>
        </w:rPr>
        <w:t>• l’</w:t>
      </w:r>
      <w:r w:rsidRPr="002B7E94">
        <w:rPr>
          <w:b/>
          <w:bCs/>
          <w:sz w:val="28"/>
          <w:szCs w:val="28"/>
        </w:rPr>
        <w:t xml:space="preserve">inflazione strisciante </w:t>
      </w:r>
      <w:r w:rsidRPr="002B7E94">
        <w:rPr>
          <w:sz w:val="28"/>
          <w:szCs w:val="28"/>
        </w:rPr>
        <w:t xml:space="preserve">è un’inflazione piuttosto contenuta, che si manifesta in </w:t>
      </w:r>
    </w:p>
    <w:p w14:paraId="604D00F8" w14:textId="319DB2A4" w:rsidR="002B7E94" w:rsidRPr="002B7E94" w:rsidRDefault="002B7E94" w:rsidP="002B7E94">
      <w:pPr>
        <w:ind w:left="0" w:right="-1"/>
        <w:jc w:val="both"/>
        <w:rPr>
          <w:sz w:val="28"/>
          <w:szCs w:val="28"/>
        </w:rPr>
      </w:pPr>
      <w:r w:rsidRPr="002B7E94">
        <w:rPr>
          <w:sz w:val="28"/>
          <w:szCs w:val="28"/>
        </w:rPr>
        <w:t xml:space="preserve">un aumento annuo medio dei prezzi entro il 4-5%; </w:t>
      </w:r>
    </w:p>
    <w:p w14:paraId="12FA9809" w14:textId="0DCD0CF5" w:rsidR="002B7E94" w:rsidRPr="002B7E94" w:rsidRDefault="002B7E94" w:rsidP="002B7E94">
      <w:pPr>
        <w:ind w:left="0" w:right="-1"/>
        <w:jc w:val="both"/>
        <w:rPr>
          <w:sz w:val="28"/>
          <w:szCs w:val="28"/>
        </w:rPr>
      </w:pPr>
      <w:r w:rsidRPr="002B7E94">
        <w:rPr>
          <w:sz w:val="28"/>
          <w:szCs w:val="28"/>
        </w:rPr>
        <w:t>• l’</w:t>
      </w:r>
      <w:r w:rsidRPr="002B7E94">
        <w:rPr>
          <w:b/>
          <w:bCs/>
          <w:sz w:val="28"/>
          <w:szCs w:val="28"/>
        </w:rPr>
        <w:t xml:space="preserve">inflazione galoppante </w:t>
      </w:r>
      <w:r w:rsidRPr="002B7E94">
        <w:rPr>
          <w:sz w:val="28"/>
          <w:szCs w:val="28"/>
        </w:rPr>
        <w:t xml:space="preserve">è caratterizzata da un aumento progressivo dei prezzi, difficilmente controllabile. In questo caso il tasso di inflazione varia tra il 7% e il 20%; </w:t>
      </w:r>
    </w:p>
    <w:p w14:paraId="5A047704" w14:textId="2CE61B24" w:rsidR="002B7E94" w:rsidRPr="002B7E94" w:rsidRDefault="002B7E94" w:rsidP="002B7E94">
      <w:pPr>
        <w:ind w:left="0" w:right="-1"/>
        <w:jc w:val="both"/>
        <w:rPr>
          <w:sz w:val="28"/>
          <w:szCs w:val="28"/>
        </w:rPr>
      </w:pPr>
      <w:r w:rsidRPr="002B7E94">
        <w:rPr>
          <w:sz w:val="28"/>
          <w:szCs w:val="28"/>
        </w:rPr>
        <w:t>• l’</w:t>
      </w:r>
      <w:r w:rsidRPr="002B7E94">
        <w:rPr>
          <w:b/>
          <w:bCs/>
          <w:sz w:val="28"/>
          <w:szCs w:val="28"/>
        </w:rPr>
        <w:t>iperinflazione</w:t>
      </w:r>
      <w:r w:rsidRPr="002B7E94">
        <w:rPr>
          <w:sz w:val="28"/>
          <w:szCs w:val="28"/>
        </w:rPr>
        <w:t xml:space="preserve"> è caratterizzata da un tasso di inflazione superiore al 50% </w:t>
      </w:r>
    </w:p>
    <w:p w14:paraId="7856CAE9" w14:textId="77777777" w:rsidR="002B7E94" w:rsidRPr="002B7E94" w:rsidRDefault="002B7E94" w:rsidP="002B7E94">
      <w:pPr>
        <w:ind w:left="0" w:right="-1"/>
        <w:jc w:val="both"/>
        <w:rPr>
          <w:sz w:val="28"/>
          <w:szCs w:val="28"/>
        </w:rPr>
      </w:pPr>
      <w:r w:rsidRPr="002B7E94">
        <w:rPr>
          <w:sz w:val="28"/>
          <w:szCs w:val="28"/>
        </w:rPr>
        <w:t xml:space="preserve">mensile. </w:t>
      </w:r>
    </w:p>
    <w:p w14:paraId="5E97C6FE" w14:textId="0B3CC02A" w:rsidR="002B7E94" w:rsidRPr="002B7E94" w:rsidRDefault="002B7E94" w:rsidP="002B7E94">
      <w:pPr>
        <w:ind w:left="0" w:right="-1"/>
        <w:jc w:val="both"/>
        <w:rPr>
          <w:sz w:val="28"/>
          <w:szCs w:val="28"/>
        </w:rPr>
      </w:pPr>
      <w:r w:rsidRPr="002B7E94">
        <w:rPr>
          <w:sz w:val="28"/>
          <w:szCs w:val="28"/>
        </w:rPr>
        <w:t xml:space="preserve">Il fenomeno opposto a quello dell’inflazione </w:t>
      </w:r>
      <w:r w:rsidRPr="002B7E94">
        <w:rPr>
          <w:rFonts w:ascii="Calibri" w:hAnsi="Calibri" w:cs="Calibri"/>
          <w:sz w:val="28"/>
          <w:szCs w:val="28"/>
        </w:rPr>
        <w:t>è</w:t>
      </w:r>
      <w:r w:rsidRPr="002B7E94">
        <w:rPr>
          <w:sz w:val="28"/>
          <w:szCs w:val="28"/>
        </w:rPr>
        <w:t xml:space="preserve"> la </w:t>
      </w:r>
      <w:r w:rsidRPr="002B7E94">
        <w:rPr>
          <w:b/>
          <w:bCs/>
          <w:sz w:val="28"/>
          <w:szCs w:val="28"/>
        </w:rPr>
        <w:t>deflazione</w:t>
      </w:r>
      <w:r w:rsidRPr="002B7E94">
        <w:rPr>
          <w:sz w:val="28"/>
          <w:szCs w:val="28"/>
        </w:rPr>
        <w:t>, cio</w:t>
      </w:r>
      <w:r w:rsidRPr="002B7E94">
        <w:rPr>
          <w:rFonts w:ascii="Calibri" w:hAnsi="Calibri" w:cs="Calibri"/>
          <w:sz w:val="28"/>
          <w:szCs w:val="28"/>
        </w:rPr>
        <w:t>è</w:t>
      </w:r>
      <w:r w:rsidRPr="002B7E94">
        <w:rPr>
          <w:sz w:val="28"/>
          <w:szCs w:val="28"/>
        </w:rPr>
        <w:t xml:space="preserve"> una diminuzione generalizzata dei prezzi di beni e servizi. </w:t>
      </w:r>
    </w:p>
    <w:p w14:paraId="1A1A25E3" w14:textId="34A4B2F9" w:rsidR="002B7E94" w:rsidRPr="002B7E94" w:rsidRDefault="002B7E94" w:rsidP="002B7E94">
      <w:pPr>
        <w:ind w:left="0" w:right="-1"/>
        <w:jc w:val="both"/>
        <w:rPr>
          <w:sz w:val="28"/>
          <w:szCs w:val="28"/>
        </w:rPr>
      </w:pPr>
      <w:r w:rsidRPr="002B7E94">
        <w:rPr>
          <w:sz w:val="28"/>
          <w:szCs w:val="28"/>
        </w:rPr>
        <w:t xml:space="preserve">Negli ultimi decenni abbiamo poi assistito alla contemporanea presenza di un alto </w:t>
      </w:r>
    </w:p>
    <w:p w14:paraId="53D79871" w14:textId="286D9540" w:rsidR="002B7E94" w:rsidRPr="002B7E94" w:rsidRDefault="002B7E94" w:rsidP="002B7E94">
      <w:pPr>
        <w:ind w:left="0" w:right="-1"/>
        <w:jc w:val="both"/>
        <w:rPr>
          <w:sz w:val="28"/>
          <w:szCs w:val="28"/>
        </w:rPr>
      </w:pPr>
      <w:r w:rsidRPr="002B7E94">
        <w:rPr>
          <w:sz w:val="28"/>
          <w:szCs w:val="28"/>
        </w:rPr>
        <w:t xml:space="preserve">tasso di inflazione e del processo di recessione economica, caratterizzato da un calo degli investimenti e da un aumento della disoccupazione; questo fenomeno prende il nome di </w:t>
      </w:r>
      <w:r w:rsidRPr="002B7E94">
        <w:rPr>
          <w:b/>
          <w:bCs/>
          <w:sz w:val="28"/>
          <w:szCs w:val="28"/>
        </w:rPr>
        <w:t>stagflazione</w:t>
      </w:r>
      <w:r w:rsidRPr="002B7E94">
        <w:rPr>
          <w:sz w:val="28"/>
          <w:szCs w:val="28"/>
        </w:rPr>
        <w:t xml:space="preserve">. </w:t>
      </w:r>
    </w:p>
    <w:p w14:paraId="11001114" w14:textId="16D4905C" w:rsidR="002B7E94" w:rsidRPr="002B7E94" w:rsidRDefault="002B7E94" w:rsidP="002B7E94">
      <w:pPr>
        <w:ind w:left="0" w:right="-1"/>
        <w:jc w:val="both"/>
        <w:rPr>
          <w:sz w:val="28"/>
          <w:szCs w:val="28"/>
        </w:rPr>
      </w:pPr>
      <w:r w:rsidRPr="002B7E94">
        <w:rPr>
          <w:sz w:val="28"/>
          <w:szCs w:val="28"/>
        </w:rPr>
        <w:t xml:space="preserve">Le cause principali dell’inflazione sono da addebitare a un eccesso di domanda di beni e servizi e a un aumento dei costi dei fattori produttivi. </w:t>
      </w:r>
    </w:p>
    <w:p w14:paraId="4A9BE091" w14:textId="5116AFFB" w:rsidR="002B7E94" w:rsidRPr="002B7E94" w:rsidRDefault="002B7E94" w:rsidP="002B7E94">
      <w:pPr>
        <w:ind w:left="0" w:right="-1"/>
        <w:jc w:val="both"/>
        <w:rPr>
          <w:sz w:val="28"/>
          <w:szCs w:val="28"/>
        </w:rPr>
      </w:pPr>
      <w:r w:rsidRPr="002B7E94">
        <w:rPr>
          <w:sz w:val="28"/>
          <w:szCs w:val="28"/>
        </w:rPr>
        <w:t>ESEMPIO</w:t>
      </w:r>
      <w:r>
        <w:rPr>
          <w:sz w:val="28"/>
          <w:szCs w:val="28"/>
        </w:rPr>
        <w:t>:</w:t>
      </w:r>
      <w:r w:rsidRPr="002B7E94">
        <w:rPr>
          <w:sz w:val="28"/>
          <w:szCs w:val="28"/>
        </w:rPr>
        <w:t xml:space="preserve"> Se l’offerta di un modello di smartphone di moda si riduce a 100 esemplari e la domanda dei consumatori resta di 1000 esemplari, la differenza tra domanda e </w:t>
      </w:r>
      <w:r w:rsidRPr="002B7E94">
        <w:rPr>
          <w:sz w:val="28"/>
          <w:szCs w:val="28"/>
        </w:rPr>
        <w:lastRenderedPageBreak/>
        <w:t xml:space="preserve">offerta (1000 </w:t>
      </w:r>
      <w:r w:rsidRPr="002B7E94">
        <w:rPr>
          <w:rFonts w:ascii="Calibri" w:hAnsi="Calibri" w:cs="Calibri"/>
          <w:sz w:val="28"/>
          <w:szCs w:val="28"/>
        </w:rPr>
        <w:t>–</w:t>
      </w:r>
      <w:r w:rsidRPr="002B7E94">
        <w:rPr>
          <w:sz w:val="28"/>
          <w:szCs w:val="28"/>
        </w:rPr>
        <w:t xml:space="preserve"> 100 = 900) far</w:t>
      </w:r>
      <w:r w:rsidRPr="002B7E94">
        <w:rPr>
          <w:rFonts w:ascii="Calibri" w:hAnsi="Calibri" w:cs="Calibri"/>
          <w:sz w:val="28"/>
          <w:szCs w:val="28"/>
        </w:rPr>
        <w:t>à</w:t>
      </w:r>
      <w:r w:rsidRPr="002B7E94">
        <w:rPr>
          <w:sz w:val="28"/>
          <w:szCs w:val="28"/>
        </w:rPr>
        <w:t xml:space="preserve"> sensibilmente aumentare il prezzo dello </w:t>
      </w:r>
    </w:p>
    <w:p w14:paraId="5902EC46" w14:textId="77777777" w:rsidR="002B7E94" w:rsidRPr="002B7E94" w:rsidRDefault="002B7E94" w:rsidP="002B7E94">
      <w:pPr>
        <w:ind w:left="0" w:right="-1"/>
        <w:jc w:val="both"/>
        <w:rPr>
          <w:sz w:val="28"/>
          <w:szCs w:val="28"/>
        </w:rPr>
      </w:pPr>
      <w:r w:rsidRPr="002B7E94">
        <w:rPr>
          <w:sz w:val="28"/>
          <w:szCs w:val="28"/>
        </w:rPr>
        <w:t xml:space="preserve">smartphone. Il prezzo dello smartphone potrebbe aumentare anche nel caso in cui il </w:t>
      </w:r>
    </w:p>
    <w:p w14:paraId="602F0BD9" w14:textId="77777777" w:rsidR="002B7E94" w:rsidRPr="002B7E94" w:rsidRDefault="002B7E94" w:rsidP="002B7E94">
      <w:pPr>
        <w:ind w:left="0" w:right="-1"/>
        <w:jc w:val="both"/>
        <w:rPr>
          <w:sz w:val="28"/>
          <w:szCs w:val="28"/>
        </w:rPr>
      </w:pPr>
      <w:r w:rsidRPr="002B7E94">
        <w:rPr>
          <w:sz w:val="28"/>
          <w:szCs w:val="28"/>
        </w:rPr>
        <w:t xml:space="preserve">costo di produzione di un esemplare dovesse passare, poniamo, da 100 a 200 euro. </w:t>
      </w:r>
    </w:p>
    <w:p w14:paraId="07E67C8C" w14:textId="77777777" w:rsidR="002B7E94" w:rsidRPr="002B7E94" w:rsidRDefault="002B7E94" w:rsidP="002B7E94">
      <w:pPr>
        <w:ind w:left="0" w:right="-1"/>
        <w:jc w:val="both"/>
        <w:rPr>
          <w:sz w:val="28"/>
          <w:szCs w:val="28"/>
        </w:rPr>
      </w:pPr>
      <w:r w:rsidRPr="002B7E94">
        <w:rPr>
          <w:sz w:val="28"/>
          <w:szCs w:val="28"/>
        </w:rPr>
        <w:t xml:space="preserve">La differenza di 100 euro farebbe aumentare in proporzione il prezzo di vendita per </w:t>
      </w:r>
    </w:p>
    <w:p w14:paraId="2400AEA5" w14:textId="6E6A23B8" w:rsidR="002B7E94" w:rsidRPr="002B7E94" w:rsidRDefault="002B7E94" w:rsidP="002B7E94">
      <w:pPr>
        <w:ind w:left="0" w:right="-1"/>
        <w:jc w:val="both"/>
        <w:rPr>
          <w:sz w:val="28"/>
          <w:szCs w:val="28"/>
        </w:rPr>
      </w:pPr>
      <w:r w:rsidRPr="002B7E94">
        <w:rPr>
          <w:sz w:val="28"/>
          <w:szCs w:val="28"/>
        </w:rPr>
        <w:t>consentire al produttore di mantenere inalterati i profitti.</w:t>
      </w:r>
    </w:p>
    <w:sectPr w:rsidR="002B7E94" w:rsidRPr="002B7E9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E94"/>
    <w:rsid w:val="001A2654"/>
    <w:rsid w:val="002B7E94"/>
    <w:rsid w:val="005411A3"/>
    <w:rsid w:val="0062121D"/>
    <w:rsid w:val="0063152B"/>
    <w:rsid w:val="007B29A2"/>
    <w:rsid w:val="00847F87"/>
    <w:rsid w:val="009C2EFF"/>
    <w:rsid w:val="00B95E44"/>
    <w:rsid w:val="00DB63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233D8"/>
  <w15:chartTrackingRefBased/>
  <w15:docId w15:val="{CEC1988F-DD50-461F-A086-8E9B3E390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2B7E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B7E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B7E94"/>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B7E94"/>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B7E94"/>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B7E94"/>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B7E94"/>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B7E94"/>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B7E94"/>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B7E94"/>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B7E94"/>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B7E94"/>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B7E94"/>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B7E94"/>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B7E9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B7E9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B7E9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B7E94"/>
    <w:rPr>
      <w:rFonts w:eastAsiaTheme="majorEastAsia" w:cstheme="majorBidi"/>
      <w:color w:val="272727" w:themeColor="text1" w:themeTint="D8"/>
    </w:rPr>
  </w:style>
  <w:style w:type="paragraph" w:styleId="Titolo">
    <w:name w:val="Title"/>
    <w:basedOn w:val="Normale"/>
    <w:next w:val="Normale"/>
    <w:link w:val="TitoloCarattere"/>
    <w:uiPriority w:val="10"/>
    <w:qFormat/>
    <w:rsid w:val="002B7E94"/>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B7E9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B7E94"/>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B7E9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B7E94"/>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2B7E94"/>
    <w:rPr>
      <w:i/>
      <w:iCs/>
      <w:color w:val="404040" w:themeColor="text1" w:themeTint="BF"/>
    </w:rPr>
  </w:style>
  <w:style w:type="paragraph" w:styleId="Paragrafoelenco">
    <w:name w:val="List Paragraph"/>
    <w:basedOn w:val="Normale"/>
    <w:uiPriority w:val="34"/>
    <w:qFormat/>
    <w:rsid w:val="002B7E94"/>
    <w:pPr>
      <w:ind w:left="720"/>
      <w:contextualSpacing/>
    </w:pPr>
  </w:style>
  <w:style w:type="character" w:styleId="Enfasiintensa">
    <w:name w:val="Intense Emphasis"/>
    <w:basedOn w:val="Carpredefinitoparagrafo"/>
    <w:uiPriority w:val="21"/>
    <w:qFormat/>
    <w:rsid w:val="002B7E94"/>
    <w:rPr>
      <w:i/>
      <w:iCs/>
      <w:color w:val="2F5496" w:themeColor="accent1" w:themeShade="BF"/>
    </w:rPr>
  </w:style>
  <w:style w:type="paragraph" w:styleId="Citazioneintensa">
    <w:name w:val="Intense Quote"/>
    <w:basedOn w:val="Normale"/>
    <w:next w:val="Normale"/>
    <w:link w:val="CitazioneintensaCarattere"/>
    <w:uiPriority w:val="30"/>
    <w:qFormat/>
    <w:rsid w:val="002B7E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B7E94"/>
    <w:rPr>
      <w:i/>
      <w:iCs/>
      <w:color w:val="2F5496" w:themeColor="accent1" w:themeShade="BF"/>
    </w:rPr>
  </w:style>
  <w:style w:type="character" w:styleId="Riferimentointenso">
    <w:name w:val="Intense Reference"/>
    <w:basedOn w:val="Carpredefinitoparagrafo"/>
    <w:uiPriority w:val="32"/>
    <w:qFormat/>
    <w:rsid w:val="002B7E9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1036</Words>
  <Characters>4144</Characters>
  <Application>Microsoft Office Word</Application>
  <DocSecurity>0</DocSecurity>
  <Lines>518</Lines>
  <Paragraphs>575</Paragraphs>
  <ScaleCrop>false</ScaleCrop>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cp:revision>
  <dcterms:created xsi:type="dcterms:W3CDTF">2026-04-23T09:07:00Z</dcterms:created>
  <dcterms:modified xsi:type="dcterms:W3CDTF">2026-04-23T09:16:00Z</dcterms:modified>
</cp:coreProperties>
</file>