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pStyle w:val="P1"/>
        <w:jc w:val="center"/>
      </w:pPr>
      <w:r>
        <w:t>IL CONSIGLIO SUPERIORE DELLA MAGISTRATURA (CSM)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Al fine di garantire le condizioni di </w:t>
      </w:r>
      <w:r>
        <w:rPr>
          <w:b w:val="1"/>
          <w:bCs w:val="1"/>
          <w:sz w:val="32"/>
          <w:szCs w:val="32"/>
        </w:rPr>
        <w:t>autonomia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indipendenza</w:t>
      </w:r>
      <w:r>
        <w:rPr>
          <w:sz w:val="32"/>
          <w:szCs w:val="32"/>
        </w:rPr>
        <w:t xml:space="preserve"> alla Magistratura italiana, la Costituzione ha previsto il </w:t>
      </w:r>
      <w:r>
        <w:rPr>
          <w:b w:val="1"/>
          <w:bCs w:val="1"/>
          <w:sz w:val="32"/>
          <w:szCs w:val="32"/>
        </w:rPr>
        <w:t>Consiglio Superiore della Magistratura (CSM)</w:t>
      </w:r>
      <w:r>
        <w:rPr>
          <w:sz w:val="32"/>
          <w:szCs w:val="32"/>
        </w:rPr>
        <w:t>, un organo di autogoverno</w:t>
      </w:r>
      <w:r>
        <w:rPr>
          <w:sz w:val="32"/>
          <w:szCs w:val="32"/>
          <w:rtl w:val="0"/>
          <w:lang w:val="it-IT" w:bidi="it-IT" w:eastAsia="it-IT"/>
        </w:rPr>
        <w:t xml:space="preserve"> (di 3</w:t>
      </w:r>
      <w:r>
        <w:rPr>
          <w:sz w:val="32"/>
          <w:szCs w:val="32"/>
          <w:rtl w:val="0"/>
          <w:lang w:val="it-IT" w:bidi="it-IT" w:eastAsia="it-IT"/>
        </w:rPr>
        <w:t>3</w:t>
      </w:r>
      <w:r>
        <w:rPr>
          <w:sz w:val="32"/>
          <w:szCs w:val="32"/>
          <w:rtl w:val="0"/>
          <w:lang w:val="it-IT" w:bidi="it-IT" w:eastAsia="it-IT"/>
        </w:rPr>
        <w:t xml:space="preserve"> membri</w:t>
      </w:r>
      <w:r>
        <w:rPr>
          <w:sz w:val="32"/>
          <w:szCs w:val="32"/>
          <w:rtl w:val="0"/>
          <w:lang w:val="it-IT" w:bidi="it-IT" w:eastAsia="it-IT"/>
        </w:rPr>
        <w:t>, di cui 3 di diritt</w:t>
      </w:r>
      <w:r>
        <w:rPr>
          <w:sz w:val="32"/>
          <w:szCs w:val="32"/>
          <w:rtl w:val="0"/>
          <w:lang w:val="it-IT" w:bidi="it-IT" w:eastAsia="it-IT"/>
        </w:rPr>
        <w:t xml:space="preserve">o e </w:t>
      </w:r>
      <w:r>
        <w:rPr>
          <w:sz w:val="32"/>
          <w:szCs w:val="32"/>
          <w:rtl w:val="0"/>
          <w:lang w:val="it-IT" w:bidi="it-IT" w:eastAsia="it-IT"/>
        </w:rPr>
        <w:t>30 elettivi)</w:t>
      </w:r>
      <w:r>
        <w:rPr>
          <w:sz w:val="32"/>
          <w:szCs w:val="32"/>
        </w:rPr>
        <w:t xml:space="preserve"> dei giudici, istituito nel 1958.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 </w:t>
      </w:r>
      <w:r>
        <w:rPr>
          <w:b w:val="1"/>
          <w:bCs w:val="1"/>
          <w:sz w:val="32"/>
          <w:szCs w:val="32"/>
          <w:highlight w:val="yellow"/>
        </w:rPr>
        <w:t>articolo 104 della Costituzione</w:t>
      </w:r>
      <w:r>
        <w:rPr>
          <w:sz w:val="32"/>
          <w:szCs w:val="32"/>
        </w:rPr>
        <w:t xml:space="preserve"> individua tre linee fondamentali sul piano della composizione: </w:t>
      </w:r>
    </w:p>
    <w:p>
      <w:pPr>
        <w:pStyle w:val="P13"/>
        <w:numPr>
          <w:ilvl w:val="0"/>
          <w:numId w:val="2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conferisce la </w:t>
      </w:r>
      <w:r>
        <w:rPr>
          <w:b w:val="1"/>
          <w:bCs w:val="1"/>
          <w:sz w:val="32"/>
          <w:szCs w:val="32"/>
        </w:rPr>
        <w:t>presidenza del CSM al Presidente della Repubblica</w:t>
      </w:r>
      <w:r>
        <w:rPr>
          <w:sz w:val="32"/>
          <w:szCs w:val="32"/>
        </w:rPr>
        <w:t xml:space="preserve">. La soluzione fu dettata non per affidare una presidenza simbolica, ma </w:t>
      </w:r>
      <w:r>
        <w:rPr>
          <w:b w:val="1"/>
          <w:bCs w:val="1"/>
          <w:sz w:val="32"/>
          <w:szCs w:val="32"/>
        </w:rPr>
        <w:t>per ottenere il massimo dell’equilibrio possibile tra autonomia ed indipendenza della Magistratura e legame di essa con gli altri poteri dello Stato</w:t>
      </w:r>
      <w:r>
        <w:rPr>
          <w:sz w:val="32"/>
          <w:szCs w:val="32"/>
        </w:rPr>
        <w:t xml:space="preserve">. Infatti, il Capo dello Stato può incidere attraverso gli </w:t>
      </w:r>
      <w:r>
        <w:rPr>
          <w:b w:val="1"/>
          <w:bCs w:val="1"/>
          <w:sz w:val="32"/>
          <w:szCs w:val="32"/>
        </w:rPr>
        <w:t>atti di indizione</w:t>
      </w:r>
      <w:r>
        <w:rPr>
          <w:sz w:val="32"/>
          <w:szCs w:val="32"/>
        </w:rPr>
        <w:t xml:space="preserve"> dell’elezione della componente dei Magistrati e </w:t>
      </w:r>
      <w:r>
        <w:rPr>
          <w:b w:val="1"/>
          <w:bCs w:val="1"/>
          <w:sz w:val="32"/>
          <w:szCs w:val="32"/>
        </w:rPr>
        <w:t>di richiesta</w:t>
      </w:r>
      <w:r>
        <w:rPr>
          <w:sz w:val="32"/>
          <w:szCs w:val="32"/>
        </w:rPr>
        <w:t xml:space="preserve"> ai Presidenti delle due Camere dell’elezione della componente </w:t>
      </w:r>
      <w:r>
        <w:rPr>
          <w:b w:val="1"/>
          <w:bCs w:val="1"/>
          <w:sz w:val="32"/>
          <w:szCs w:val="32"/>
        </w:rPr>
        <w:t>laica</w:t>
      </w:r>
      <w:r>
        <w:rPr>
          <w:sz w:val="32"/>
          <w:szCs w:val="32"/>
        </w:rPr>
        <w:t xml:space="preserve"> e di </w:t>
      </w:r>
      <w:r>
        <w:rPr>
          <w:b w:val="1"/>
          <w:bCs w:val="1"/>
          <w:sz w:val="32"/>
          <w:szCs w:val="32"/>
        </w:rPr>
        <w:t xml:space="preserve">scioglimento del Consiglio per impossibilità di funzionamento. </w:t>
      </w:r>
      <w:r>
        <w:rPr>
          <w:sz w:val="32"/>
          <w:szCs w:val="32"/>
        </w:rPr>
        <w:t xml:space="preserve">Infine, egli può esercitare la facoltà di presiedere la </w:t>
      </w:r>
      <w:r>
        <w:rPr>
          <w:b w:val="1"/>
          <w:bCs w:val="1"/>
          <w:sz w:val="32"/>
          <w:szCs w:val="32"/>
        </w:rPr>
        <w:t>Sezione disciplinare del CSM</w:t>
      </w:r>
      <w:r>
        <w:rPr>
          <w:sz w:val="32"/>
          <w:szCs w:val="32"/>
        </w:rPr>
        <w:t xml:space="preserve"> al fine di garantire l’indipendenza di ciascun magistrato da possibili azioni persecutorie provenienti dall’interno dell’ordine; </w:t>
      </w:r>
    </w:p>
    <w:p>
      <w:pPr>
        <w:pStyle w:val="P13"/>
        <w:numPr>
          <w:ilvl w:val="0"/>
          <w:numId w:val="2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sancisce la </w:t>
      </w:r>
      <w:r>
        <w:rPr>
          <w:b w:val="1"/>
          <w:bCs w:val="1"/>
          <w:sz w:val="32"/>
          <w:szCs w:val="32"/>
        </w:rPr>
        <w:t>partecipazione di diritto del Primo Presidente e del Procuratore Generale della Corte di Cassazione</w:t>
      </w:r>
      <w:r>
        <w:rPr>
          <w:sz w:val="32"/>
          <w:szCs w:val="32"/>
        </w:rPr>
        <w:t>;</w:t>
      </w:r>
    </w:p>
    <w:p>
      <w:pPr>
        <w:pStyle w:val="P13"/>
        <w:numPr>
          <w:ilvl w:val="0"/>
          <w:numId w:val="2"/>
        </w:numPr>
        <w:spacing w:before="0" w:beforeAutospacing="0" w:afterAutospacing="0"/>
        <w:ind w:right="-1"/>
        <w:jc w:val="both"/>
        <w:rPr>
          <w:b w:val="1"/>
          <w:bCs w:val="1"/>
          <w:sz w:val="32"/>
          <w:szCs w:val="32"/>
        </w:rPr>
      </w:pPr>
      <w:r>
        <w:rPr>
          <w:sz w:val="32"/>
          <w:szCs w:val="32"/>
        </w:rPr>
        <w:t xml:space="preserve">fissa </w:t>
      </w:r>
      <w:r>
        <w:rPr>
          <w:b w:val="1"/>
          <w:bCs w:val="1"/>
          <w:sz w:val="32"/>
          <w:szCs w:val="32"/>
        </w:rPr>
        <w:t>l’accesso elettivo</w:t>
      </w:r>
      <w:r>
        <w:rPr>
          <w:sz w:val="32"/>
          <w:szCs w:val="32"/>
        </w:rPr>
        <w:t xml:space="preserve"> dei restanti componenti, </w:t>
      </w:r>
      <w:r>
        <w:rPr>
          <w:b w:val="1"/>
          <w:bCs w:val="1"/>
          <w:sz w:val="32"/>
          <w:szCs w:val="32"/>
        </w:rPr>
        <w:t>eletti per due terzi</w:t>
      </w:r>
      <w:r>
        <w:rPr>
          <w:sz w:val="32"/>
          <w:szCs w:val="32"/>
        </w:rPr>
        <w:t xml:space="preserve">, da tutti i </w:t>
      </w:r>
      <w:r>
        <w:rPr>
          <w:b w:val="1"/>
          <w:bCs w:val="1"/>
          <w:sz w:val="32"/>
          <w:szCs w:val="32"/>
        </w:rPr>
        <w:t>magistrati ordinari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per un terzo</w:t>
      </w: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dalle Camere in seduta comune tra Professori ordinari di materie giuridiche</w:t>
      </w:r>
      <w:r>
        <w:rPr>
          <w:sz w:val="32"/>
          <w:szCs w:val="32"/>
        </w:rPr>
        <w:t xml:space="preserve"> presso le Università tra gli </w:t>
      </w:r>
      <w:r>
        <w:rPr>
          <w:b w:val="1"/>
          <w:bCs w:val="1"/>
          <w:sz w:val="32"/>
          <w:szCs w:val="32"/>
        </w:rPr>
        <w:t>Avvocati</w:t>
      </w:r>
      <w:r>
        <w:rPr>
          <w:sz w:val="32"/>
          <w:szCs w:val="32"/>
        </w:rPr>
        <w:t xml:space="preserve"> che abbiano </w:t>
      </w:r>
      <w:r>
        <w:rPr>
          <w:b w:val="1"/>
          <w:bCs w:val="1"/>
          <w:sz w:val="32"/>
          <w:szCs w:val="32"/>
        </w:rPr>
        <w:t>almeno 15 anni esercitato l’attività professionale</w:t>
      </w:r>
      <w:r>
        <w:rPr>
          <w:sz w:val="32"/>
          <w:szCs w:val="32"/>
        </w:rPr>
        <w:t xml:space="preserve">. La presenza di una tale componente </w:t>
      </w:r>
      <w:r>
        <w:rPr>
          <w:rFonts w:cstheme="minorHAnsi"/>
          <w:b w:val="1"/>
          <w:bCs w:val="1"/>
          <w:sz w:val="32"/>
          <w:szCs w:val="32"/>
        </w:rPr>
        <w:t>«laica»</w:t>
      </w:r>
      <w:r>
        <w:rPr>
          <w:rFonts w:cstheme="minorHAnsi"/>
          <w:sz w:val="32"/>
          <w:szCs w:val="32"/>
        </w:rPr>
        <w:t xml:space="preserve"> ha il significato, inoltre, di scongiurare spinte corporative e di isolamento dalla società e, soprattutto, dall’organizzazione dei poteri da parte della magistratura stessa.</w:t>
      </w: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 </w:t>
      </w:r>
      <w:r>
        <w:rPr>
          <w:b w:val="1"/>
          <w:bCs w:val="1"/>
          <w:sz w:val="32"/>
          <w:szCs w:val="32"/>
        </w:rPr>
        <w:t>articolo 105 della Costituzione</w:t>
      </w:r>
      <w:r>
        <w:rPr>
          <w:sz w:val="32"/>
          <w:szCs w:val="32"/>
        </w:rPr>
        <w:t xml:space="preserve"> elenca le </w:t>
      </w:r>
      <w:r>
        <w:rPr>
          <w:b w:val="1"/>
          <w:bCs w:val="1"/>
          <w:sz w:val="32"/>
          <w:szCs w:val="32"/>
        </w:rPr>
        <w:t>attribuzioni</w:t>
      </w:r>
      <w:r>
        <w:rPr>
          <w:sz w:val="32"/>
          <w:szCs w:val="32"/>
        </w:rPr>
        <w:t xml:space="preserve"> conferite al CSM consistenti nelle </w:t>
      </w:r>
      <w:r>
        <w:rPr>
          <w:b w:val="1"/>
          <w:bCs w:val="1"/>
          <w:sz w:val="32"/>
          <w:szCs w:val="32"/>
        </w:rPr>
        <w:t>assegnazioni</w:t>
      </w:r>
      <w:r>
        <w:rPr>
          <w:sz w:val="32"/>
          <w:szCs w:val="32"/>
        </w:rPr>
        <w:t xml:space="preserve">, </w:t>
      </w:r>
      <w:r>
        <w:rPr>
          <w:b w:val="1"/>
          <w:bCs w:val="1"/>
          <w:sz w:val="32"/>
          <w:szCs w:val="32"/>
        </w:rPr>
        <w:t>trasferimenti</w:t>
      </w:r>
      <w:r>
        <w:rPr>
          <w:sz w:val="32"/>
          <w:szCs w:val="32"/>
        </w:rPr>
        <w:t xml:space="preserve">, </w:t>
      </w:r>
      <w:r>
        <w:rPr>
          <w:b w:val="1"/>
          <w:bCs w:val="1"/>
          <w:sz w:val="32"/>
          <w:szCs w:val="32"/>
        </w:rPr>
        <w:t xml:space="preserve">promozioni </w:t>
      </w:r>
      <w:r>
        <w:rPr>
          <w:sz w:val="32"/>
          <w:szCs w:val="32"/>
        </w:rPr>
        <w:t xml:space="preserve">e </w:t>
      </w:r>
      <w:r>
        <w:rPr>
          <w:b w:val="1"/>
          <w:bCs w:val="1"/>
          <w:sz w:val="32"/>
          <w:szCs w:val="32"/>
        </w:rPr>
        <w:t xml:space="preserve">provvedimenti disciplinari </w:t>
      </w:r>
      <w:r>
        <w:rPr>
          <w:sz w:val="32"/>
          <w:szCs w:val="32"/>
        </w:rPr>
        <w:t>nei riguardi dei magistrati. L’</w:t>
      </w:r>
      <w:r>
        <w:rPr>
          <w:b w:val="1"/>
          <w:bCs w:val="1"/>
          <w:sz w:val="32"/>
          <w:szCs w:val="32"/>
        </w:rPr>
        <w:t>azione disciplinare</w:t>
      </w:r>
      <w:r>
        <w:rPr>
          <w:sz w:val="32"/>
          <w:szCs w:val="32"/>
        </w:rPr>
        <w:t xml:space="preserve"> nei confronti dei magistrati ordinari spetta, oltre che al Ministro della giustizia, al </w:t>
      </w:r>
      <w:r>
        <w:rPr>
          <w:b w:val="1"/>
          <w:bCs w:val="1"/>
          <w:sz w:val="32"/>
          <w:szCs w:val="32"/>
        </w:rPr>
        <w:t>Procuratore generale presso la Corte di Cassazione</w:t>
      </w:r>
      <w:r>
        <w:rPr>
          <w:sz w:val="32"/>
          <w:szCs w:val="32"/>
        </w:rPr>
        <w:t>, il quale esercita, comunque, le funzioni di Pubblico Ministero presso la sezione disciplinare del CSM.</w:t>
      </w:r>
    </w:p>
    <w:p>
      <w:pPr>
        <w:pStyle w:val="P1"/>
        <w:jc w:val="center"/>
      </w:pPr>
      <w:r>
        <w:t>LA CORTE COSTITUZIONALE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</w:t>
      </w:r>
      <w:r>
        <w:rPr>
          <w:b w:val="1"/>
          <w:bCs w:val="1"/>
          <w:sz w:val="32"/>
          <w:szCs w:val="32"/>
        </w:rPr>
        <w:t>Corte costituzionale</w:t>
      </w:r>
      <w:r>
        <w:rPr>
          <w:sz w:val="32"/>
          <w:szCs w:val="32"/>
        </w:rPr>
        <w:t xml:space="preserve"> è un importante </w:t>
      </w:r>
      <w:r>
        <w:rPr>
          <w:b w:val="1"/>
          <w:bCs w:val="1"/>
          <w:sz w:val="32"/>
          <w:szCs w:val="32"/>
        </w:rPr>
        <w:t>organo di controllo e di garanzia</w:t>
      </w:r>
      <w:r>
        <w:rPr>
          <w:sz w:val="32"/>
          <w:szCs w:val="32"/>
        </w:rPr>
        <w:t xml:space="preserve">, in virtù dell’adozione di una Costituzione di tipo </w:t>
      </w:r>
      <w:r>
        <w:rPr>
          <w:b w:val="1"/>
          <w:bCs w:val="1"/>
          <w:sz w:val="32"/>
          <w:szCs w:val="32"/>
        </w:rPr>
        <w:t>rigido</w:t>
      </w:r>
      <w:r>
        <w:rPr>
          <w:sz w:val="32"/>
          <w:szCs w:val="32"/>
        </w:rPr>
        <w:t xml:space="preserve">. Mentre la Magistratura ha il compito di accertare se si sono verificate violazioni delle leggi in vigore, la Corte costituzionale ha il compito di verificare che il </w:t>
      </w:r>
      <w:r>
        <w:rPr>
          <w:b w:val="1"/>
          <w:bCs w:val="1"/>
          <w:sz w:val="32"/>
          <w:szCs w:val="32"/>
        </w:rPr>
        <w:t>comportamento degli organi dello Stato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le leggi siano conformi ai principi stabiliti dalla nostra Costituzione</w:t>
      </w:r>
      <w:r>
        <w:rPr>
          <w:sz w:val="32"/>
          <w:szCs w:val="32"/>
        </w:rPr>
        <w:t>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t>COMPOSIZIONE E MANDATO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Corte è composta di </w:t>
      </w:r>
      <w:r>
        <w:rPr>
          <w:b w:val="1"/>
          <w:bCs w:val="1"/>
          <w:sz w:val="32"/>
          <w:szCs w:val="32"/>
        </w:rPr>
        <w:t>quindici giudici</w:t>
      </w:r>
      <w:r>
        <w:rPr>
          <w:sz w:val="32"/>
          <w:szCs w:val="32"/>
        </w:rPr>
        <w:t>, nominati:</w:t>
      </w:r>
    </w:p>
    <w:p>
      <w:pPr>
        <w:pStyle w:val="P13"/>
        <w:numPr>
          <w:ilvl w:val="0"/>
          <w:numId w:val="3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per un terzo dal Presidente della Repubblica</w:t>
      </w:r>
      <w:r>
        <w:rPr>
          <w:sz w:val="32"/>
          <w:szCs w:val="32"/>
        </w:rPr>
        <w:t>;</w:t>
      </w:r>
    </w:p>
    <w:p>
      <w:pPr>
        <w:pStyle w:val="P13"/>
        <w:numPr>
          <w:ilvl w:val="0"/>
          <w:numId w:val="3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per un terzo dalle supreme magistrature dello Stato (3 dalla Corte di Cassazione; 1 dalla Corte dei Conti; 1 dal Consiglio di Stato)</w:t>
      </w:r>
      <w:r>
        <w:rPr>
          <w:sz w:val="32"/>
          <w:szCs w:val="32"/>
        </w:rPr>
        <w:t>;</w:t>
      </w:r>
    </w:p>
    <w:p>
      <w:pPr>
        <w:pStyle w:val="P13"/>
        <w:numPr>
          <w:ilvl w:val="0"/>
          <w:numId w:val="3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per un terzo dal Parlamento in seduta comune</w:t>
      </w:r>
      <w:r>
        <w:rPr>
          <w:sz w:val="32"/>
          <w:szCs w:val="32"/>
        </w:rPr>
        <w:t>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 w:val="1"/>
          <w:bCs w:val="1"/>
          <w:sz w:val="32"/>
          <w:szCs w:val="32"/>
        </w:rPr>
        <w:t>mandato</w:t>
      </w:r>
      <w:r>
        <w:rPr>
          <w:sz w:val="32"/>
          <w:szCs w:val="32"/>
        </w:rPr>
        <w:t xml:space="preserve"> dei giudici costituzionali </w:t>
      </w:r>
      <w:r>
        <w:rPr>
          <w:b w:val="1"/>
          <w:bCs w:val="1"/>
          <w:sz w:val="32"/>
          <w:szCs w:val="32"/>
        </w:rPr>
        <w:t>dura nove anni dal giuramento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non è rinnovabile</w:t>
      </w:r>
      <w:r>
        <w:rPr>
          <w:sz w:val="32"/>
          <w:szCs w:val="32"/>
        </w:rPr>
        <w:t xml:space="preserve">. La Corte elegge tra i suoi componenti il </w:t>
      </w:r>
      <w:r>
        <w:rPr>
          <w:b w:val="1"/>
          <w:bCs w:val="1"/>
          <w:sz w:val="32"/>
          <w:szCs w:val="32"/>
        </w:rPr>
        <w:t>Presidente</w:t>
      </w:r>
      <w:r>
        <w:rPr>
          <w:sz w:val="32"/>
          <w:szCs w:val="32"/>
        </w:rPr>
        <w:t xml:space="preserve">, il quale la convoca, ne presiede le sedute ed esercita i poteri attribuitigli dalle leggi e dai regolamenti. Il Presidente resta in carica tre anni ed 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rieleggibile. La Corte Costituzionale ha sede a </w:t>
      </w:r>
      <w:r>
        <w:rPr>
          <w:b w:val="1"/>
          <w:bCs w:val="1"/>
          <w:sz w:val="32"/>
          <w:szCs w:val="32"/>
        </w:rPr>
        <w:t>Roma</w:t>
      </w:r>
      <w:r>
        <w:rPr>
          <w:sz w:val="32"/>
          <w:szCs w:val="32"/>
        </w:rPr>
        <w:t xml:space="preserve">, presso il </w:t>
      </w:r>
      <w:r>
        <w:rPr>
          <w:b w:val="1"/>
          <w:bCs w:val="1"/>
          <w:sz w:val="32"/>
          <w:szCs w:val="32"/>
        </w:rPr>
        <w:t>Palazzo della Consulta</w:t>
      </w:r>
      <w:r>
        <w:rPr>
          <w:sz w:val="32"/>
          <w:szCs w:val="32"/>
        </w:rPr>
        <w:t>.</w:t>
      </w:r>
    </w:p>
    <w:p>
      <w:pPr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t>FUNZIONI</w:t>
      </w:r>
    </w:p>
    <w:p>
      <w:pPr>
        <w:spacing w:before="0" w:beforeAutospacing="0" w:afterAutospacing="0"/>
        <w:ind w:left="0"/>
        <w:jc w:val="both"/>
        <w:rPr>
          <w:sz w:val="32"/>
          <w:szCs w:val="32"/>
        </w:rPr>
      </w:pPr>
      <w:r>
        <w:rPr>
          <w:sz w:val="32"/>
          <w:szCs w:val="32"/>
        </w:rPr>
        <w:t>La Corte costituzionale giudica: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le controversie relative alla </w:t>
      </w:r>
      <w:r>
        <w:rPr>
          <w:b w:val="1"/>
          <w:bCs w:val="1"/>
          <w:sz w:val="32"/>
          <w:szCs w:val="32"/>
        </w:rPr>
        <w:t>legittimità costituzionale</w:t>
      </w:r>
      <w:r>
        <w:rPr>
          <w:sz w:val="32"/>
          <w:szCs w:val="32"/>
        </w:rPr>
        <w:t xml:space="preserve"> delle leggi e degli atti aventi forza di legge dello Stato e delle Regioni;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i </w:t>
      </w:r>
      <w:r>
        <w:rPr>
          <w:b w:val="1"/>
          <w:bCs w:val="1"/>
          <w:sz w:val="32"/>
          <w:szCs w:val="32"/>
        </w:rPr>
        <w:t>conflitti di attribuzione</w:t>
      </w:r>
      <w:r>
        <w:rPr>
          <w:sz w:val="32"/>
          <w:szCs w:val="32"/>
        </w:rPr>
        <w:t xml:space="preserve"> tra i poteri dello Stato e su quelli tra Stato e Regioni, e tra Regioni;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le </w:t>
      </w:r>
      <w:r>
        <w:rPr>
          <w:b w:val="1"/>
          <w:bCs w:val="1"/>
          <w:sz w:val="32"/>
          <w:szCs w:val="32"/>
        </w:rPr>
        <w:t xml:space="preserve">accuse promosse contro il Presidente della Repubblica </w:t>
      </w:r>
      <w:r>
        <w:rPr>
          <w:sz w:val="32"/>
          <w:szCs w:val="32"/>
        </w:rPr>
        <w:t>a norma della Costituzione;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l’</w:t>
      </w:r>
      <w:r>
        <w:rPr>
          <w:b w:val="1"/>
          <w:bCs w:val="1"/>
          <w:sz w:val="32"/>
          <w:szCs w:val="32"/>
        </w:rPr>
        <w:t>ammissibilità delle richieste di referendum abrogativi</w:t>
      </w:r>
      <w:r>
        <w:rPr>
          <w:sz w:val="32"/>
          <w:szCs w:val="32"/>
        </w:rPr>
        <w:t>.</w:t>
      </w:r>
    </w:p>
    <w:p>
      <w:pPr>
        <w:pStyle w:val="P2"/>
        <w:jc w:val="center"/>
      </w:pPr>
      <w:r>
        <w:t>IL CONTROLLO DI LEGITTIMITA’ COSTITUZIONALE DELLE LEGGI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Secondo il principio di gerarchia delle fonti tutte le leggi emanate dal Parlamento, dal Governo e dalle Regioni devono essere in armonia con la Costituzione.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 w:val="1"/>
          <w:bCs w:val="1"/>
          <w:sz w:val="32"/>
          <w:szCs w:val="32"/>
        </w:rPr>
        <w:t>giudizio sulla costituzionalità delle leggi</w:t>
      </w:r>
      <w:r>
        <w:rPr>
          <w:sz w:val="32"/>
          <w:szCs w:val="32"/>
        </w:rPr>
        <w:t>, cioè sulla conformit</w:t>
      </w:r>
      <w:r>
        <w:rPr>
          <w:rFonts w:ascii="Calibri" w:hAnsi="Calibri" w:cs="Calibri"/>
          <w:sz w:val="32"/>
          <w:szCs w:val="32"/>
        </w:rPr>
        <w:t>à</w:t>
      </w:r>
      <w:r>
        <w:rPr>
          <w:sz w:val="32"/>
          <w:szCs w:val="32"/>
        </w:rPr>
        <w:t xml:space="preserve"> delle leggi alla Costituzione, </w:t>
      </w:r>
      <w:r>
        <w:rPr>
          <w:rFonts w:ascii="Calibri" w:hAnsi="Calibri" w:cs="Calibri"/>
          <w:b w:val="1"/>
          <w:bCs w:val="1"/>
          <w:sz w:val="32"/>
          <w:szCs w:val="32"/>
        </w:rPr>
        <w:t>è</w:t>
      </w:r>
      <w:r>
        <w:rPr>
          <w:b w:val="1"/>
          <w:bCs w:val="1"/>
          <w:sz w:val="32"/>
          <w:szCs w:val="32"/>
        </w:rPr>
        <w:t xml:space="preserve"> affidato alla Corte costituzionale</w:t>
      </w:r>
      <w:r>
        <w:rPr>
          <w:sz w:val="32"/>
          <w:szCs w:val="32"/>
        </w:rPr>
        <w:t>. Il controllo di costituzionalit</w:t>
      </w:r>
      <w:r>
        <w:rPr>
          <w:rFonts w:ascii="Calibri" w:hAnsi="Calibri" w:cs="Calibri"/>
          <w:sz w:val="32"/>
          <w:szCs w:val="32"/>
        </w:rPr>
        <w:t>à</w:t>
      </w:r>
      <w:r>
        <w:rPr>
          <w:sz w:val="32"/>
          <w:szCs w:val="32"/>
        </w:rPr>
        <w:t xml:space="preserve"> pu</w:t>
      </w:r>
      <w:r>
        <w:rPr>
          <w:rFonts w:ascii="Calibri" w:hAnsi="Calibri" w:cs="Calibri"/>
          <w:sz w:val="32"/>
          <w:szCs w:val="32"/>
        </w:rPr>
        <w:t>ò</w:t>
      </w:r>
      <w:r>
        <w:rPr>
          <w:sz w:val="32"/>
          <w:szCs w:val="32"/>
        </w:rPr>
        <w:t xml:space="preserve"> avvenire in due modi: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in via</w:t>
      </w:r>
      <w:r>
        <w:rPr>
          <w:b w:val="1"/>
          <w:bCs w:val="1"/>
          <w:sz w:val="32"/>
          <w:szCs w:val="32"/>
        </w:rPr>
        <w:t xml:space="preserve"> incidentale</w:t>
      </w:r>
      <w:r>
        <w:rPr>
          <w:sz w:val="32"/>
          <w:szCs w:val="32"/>
        </w:rPr>
        <w:t>, quando, durante un processo, una delle parti o il giudice solleva la questione di costituzionalità su una legge o su un atto avente forza di legge da applicare nel corso del processo; se il giudice ritiene che il dubbio sia fondato e che sia rilevante nel giudizio, sospende il processo e ordina che la questione sia sottoposta alla Corte costituzionale. Il processo può riprendere solo dopo la pronuncia della Corte;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in via</w:t>
      </w:r>
      <w:r>
        <w:rPr>
          <w:b w:val="1"/>
          <w:bCs w:val="1"/>
          <w:sz w:val="32"/>
          <w:szCs w:val="32"/>
        </w:rPr>
        <w:t xml:space="preserve"> principale</w:t>
      </w:r>
      <w:r>
        <w:rPr>
          <w:sz w:val="32"/>
          <w:szCs w:val="32"/>
        </w:rPr>
        <w:t xml:space="preserve">, quando lo Stato si rivolge alla Corte per impugnare una legge regionale o, al contrario, quando una Regione si rivolge alla Corte per impugnare una legge dello Stato o di un’altra Regione. Il giudizio, in questi casi, 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in via principale, perch</w:t>
      </w:r>
      <w:r>
        <w:rPr>
          <w:rFonts w:ascii="Calibri" w:hAnsi="Calibri" w:cs="Calibri"/>
          <w:sz w:val="32"/>
          <w:szCs w:val="32"/>
        </w:rPr>
        <w:t>é</w:t>
      </w:r>
      <w:r>
        <w:rPr>
          <w:sz w:val="32"/>
          <w:szCs w:val="32"/>
        </w:rPr>
        <w:t xml:space="preserve"> non viene avviato da un «incidente» sollevato durante un processo, ma si ricorre alla Corte in modo diretto.</w:t>
      </w:r>
    </w:p>
    <w:p>
      <w:pPr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t>IL GIUDIZIO SUI CONFLITTI DI ATTRIBUZIONE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La Corte costituzionale giudica e risolve</w:t>
      </w: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i conflitti di attribuzione fra i poteri dello Stato, fra lo Stato e le Regioni e fra le Regioni stesse</w:t>
      </w:r>
      <w:r>
        <w:rPr>
          <w:sz w:val="32"/>
          <w:szCs w:val="32"/>
        </w:rPr>
        <w:t>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 conflitti di attribuzione possono sorgere: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quando due organi si dichiarano entrambi competenti o entrambi incompetenti nei confronti di una determinata materia;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quando, esercitando in modo scorretto i propri poteri, ostacolano o impediscono ad altri di svolgere i propri compiti.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2"/>
        <w:ind w:left="0"/>
      </w:pPr>
    </w:p>
    <w:p/>
    <w:p>
      <w:pPr>
        <w:pStyle w:val="P2"/>
        <w:jc w:val="center"/>
      </w:pPr>
      <w:r>
        <w:t>IL GIUDIZIO SULLE ACCUSE PROMOSSE CONTRO IL CAPO DELLO STATO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Corte costituzionale ha anche il compito di giudicare il Presidente della Repubblica </w:t>
      </w:r>
      <w:r>
        <w:rPr>
          <w:b w:val="1"/>
          <w:bCs w:val="1"/>
          <w:sz w:val="32"/>
          <w:szCs w:val="32"/>
        </w:rPr>
        <w:t>per i reati di alto tradimento e di attentato alla Costituzione</w:t>
      </w:r>
      <w:r>
        <w:rPr>
          <w:sz w:val="32"/>
          <w:szCs w:val="32"/>
        </w:rPr>
        <w:t>, nei casi in cui il Presidente venga posto in stato d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>accusa dal Parlamento in seduta comune.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In tali ipotesi la composizione della Corte è</w:t>
      </w:r>
      <w:r>
        <w:rPr>
          <w:b w:val="1"/>
          <w:bCs w:val="1"/>
          <w:sz w:val="32"/>
          <w:szCs w:val="32"/>
        </w:rPr>
        <w:t xml:space="preserve"> “allargata”:</w:t>
      </w: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 xml:space="preserve">i quindici giudici ordinari vengono affiancati da sedici giudici </w:t>
      </w:r>
      <w:r>
        <w:rPr>
          <w:rFonts w:ascii="Calibri" w:hAnsi="Calibri" w:cs="Calibri"/>
          <w:b w:val="1"/>
          <w:bCs w:val="1"/>
          <w:sz w:val="32"/>
          <w:szCs w:val="32"/>
        </w:rPr>
        <w:t>“</w:t>
      </w:r>
      <w:r>
        <w:rPr>
          <w:b w:val="1"/>
          <w:bCs w:val="1"/>
          <w:sz w:val="32"/>
          <w:szCs w:val="32"/>
        </w:rPr>
        <w:t>aggregati</w:t>
      </w:r>
      <w:r>
        <w:rPr>
          <w:rFonts w:ascii="Calibri" w:hAnsi="Calibri" w:cs="Calibri"/>
          <w:b w:val="1"/>
          <w:bCs w:val="1"/>
          <w:sz w:val="32"/>
          <w:szCs w:val="32"/>
        </w:rPr>
        <w:t>”</w:t>
      </w:r>
      <w:r>
        <w:rPr>
          <w:sz w:val="32"/>
          <w:szCs w:val="32"/>
        </w:rPr>
        <w:t>, estratti a sorte da un elenco di cittadini predisposto dal Parlamento.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t>IL CONTROLLO SULL’ AMMISSIBILITA’ DEI REFERENDUM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Costituzione vieta che alcune materie siano sottoposte a referendum (leggi di amnistia e di indulto, leggi tributarie e di bilancio, leggi di autorizzazione alla ratifica di trattati internazionali).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Nel caso in cui qualcuno volesse sottoporre a referendum una di queste materie la Corte è tenuta a formulare un </w:t>
      </w:r>
      <w:r>
        <w:rPr>
          <w:b w:val="1"/>
          <w:bCs w:val="1"/>
          <w:sz w:val="32"/>
          <w:szCs w:val="32"/>
        </w:rPr>
        <w:t>giudizio di inammissibilità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Corte può dichiarare l’inammissibilità anche nei casi in cui l’abrogazione di una norma potrebbe compromettere il regolare svolgimento della vita istituzionale o quando il referendum stesso rischia di creare confusione tra i cittadini.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Il giudizio di inammissibilità può essere espresso quando l’abrogazione di una legge a seguito del referendum può causare un vuoto legislativo o bloccare il funzionamento di un organo costituzionale, o quando il quesito da sottoporre ai cittadini risulta formulato in maniera confusa o, infine, quando la richiesta contiene una pluralità di domande che possono indurre in errore gli elettori.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13"/>
        <w:spacing w:before="0" w:beforeAutospacing="0" w:afterAutospacing="0"/>
        <w:ind w:left="928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sectPr>
      <w:type w:val="nextPage"/>
      <w:pgSz w:w="11906" w:h="16838" w:code="0"/>
      <w:pgMar w:left="1134" w:right="1134" w:top="1417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1ED21A0A"/>
    <w:multiLevelType w:val="hybridMultilevel"/>
    <w:lvl w:ilvl="0" w:tplc="5186D532">
      <w:start w:val="1"/>
      <w:numFmt w:val="bullet"/>
      <w:suff w:val="tab"/>
      <w:lvlText w:val="-"/>
      <w:lvlJc w:val="left"/>
      <w:pPr>
        <w:ind w:hanging="360" w:left="720"/>
      </w:pPr>
      <w:rPr>
        <w:rFonts w:ascii="Calibri" w:hAnsi="Calibri" w:cs="Calibri" w:eastAsiaTheme="minorHAnsi" w:hint="default"/>
      </w:rPr>
    </w:lvl>
    <w:lvl w:ilvl="1" w:tplc="0410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10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10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10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10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10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10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10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36E70745"/>
    <w:multiLevelType w:val="hybridMultilevel"/>
    <w:lvl w:ilvl="0" w:tplc="5E266142">
      <w:start w:val="1"/>
      <w:numFmt w:val="decimal"/>
      <w:suff w:val="tab"/>
      <w:lvlText w:val="%1)"/>
      <w:lvlJc w:val="left"/>
      <w:pPr>
        <w:ind w:hanging="360" w:left="928"/>
      </w:pPr>
      <w:rPr>
        <w:rFonts w:hint="default"/>
        <w:b w:val="0"/>
        <w:bCs w:val="0"/>
      </w:rPr>
    </w:lvl>
    <w:lvl w:ilvl="1" w:tplc="0410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0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0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0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0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0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0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0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">
    <w:nsid w:val="7E8C19F1"/>
    <w:multiLevelType w:val="hybridMultilevel"/>
    <w:lvl w:ilvl="0" w:tplc="78105BEA">
      <w:start w:val="1"/>
      <w:numFmt w:val="upperLetter"/>
      <w:suff w:val="tab"/>
      <w:lvlText w:val="%1)"/>
      <w:lvlJc w:val="left"/>
      <w:pPr>
        <w:ind w:hanging="360" w:left="720"/>
      </w:pPr>
      <w:rPr>
        <w:rFonts w:hint="default"/>
      </w:rPr>
    </w:lvl>
    <w:lvl w:ilvl="1" w:tplc="0410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0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0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0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0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0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0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0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hyphenationZone w:val="283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kern w:val="2"/>
        <w:lang w:val="it-IT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120" w:after="120" w:beforeAutospacing="0" w:afterAutospacing="0"/>
        <w:ind w:firstLine="0" w:left="1701" w:right="1701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widowControl w:val="0"/>
      <w:spacing w:after="0" w:beforeAutospacing="0" w:afterAutospacing="0"/>
    </w:pPr>
    <w:rPr/>
  </w:style>
  <w:style w:type="paragraph" w:styleId="P1">
    <w:name w:val="Heading 1"/>
    <w:basedOn w:val="P0"/>
    <w:next w:val="P0"/>
    <w:link w:val="C3"/>
    <w:qFormat/>
    <w:pPr>
      <w:keepNext w:val="1"/>
      <w:keepLines w:val="1"/>
      <w:spacing w:before="360" w:after="80" w:beforeAutospacing="0" w:afterAutospacing="0"/>
      <w:outlineLvl w:val="0"/>
    </w:pPr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paragraph" w:styleId="P2">
    <w:name w:val="Heading 2"/>
    <w:basedOn w:val="P0"/>
    <w:next w:val="P0"/>
    <w:link w:val="C4"/>
    <w:qFormat/>
    <w:pPr>
      <w:keepNext w:val="1"/>
      <w:keepLines w:val="1"/>
      <w:spacing w:before="160" w:after="80" w:beforeAutospacing="0" w:afterAutospacing="0"/>
      <w:outlineLvl w:val="1"/>
    </w:pPr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paragraph" w:styleId="P3">
    <w:name w:val="Heading 3"/>
    <w:basedOn w:val="P0"/>
    <w:next w:val="P0"/>
    <w:link w:val="C5"/>
    <w:semiHidden/>
    <w:qFormat/>
    <w:pPr>
      <w:keepNext w:val="1"/>
      <w:keepLines w:val="1"/>
      <w:spacing w:before="160" w:after="80" w:beforeAutospacing="0" w:afterAutospacing="0"/>
      <w:outlineLvl w:val="2"/>
    </w:pPr>
    <w:rPr>
      <w:rFonts w:cstheme="majorBidi" w:eastAsiaTheme="majorEastAsia"/>
      <w:color w:val="2F5496" w:themeColor="accent1" w:themeShade="BF"/>
      <w:sz w:val="28"/>
      <w:szCs w:val="28"/>
    </w:rPr>
  </w:style>
  <w:style w:type="paragraph" w:styleId="P4">
    <w:name w:val="Heading 4"/>
    <w:basedOn w:val="P0"/>
    <w:next w:val="P0"/>
    <w:link w:val="C6"/>
    <w:semiHidden/>
    <w:qFormat/>
    <w:pPr>
      <w:keepNext w:val="1"/>
      <w:keepLines w:val="1"/>
      <w:spacing w:before="80" w:after="40" w:beforeAutospacing="0" w:afterAutospacing="0"/>
      <w:outlineLvl w:val="3"/>
    </w:pPr>
    <w:rPr>
      <w:rFonts w:cstheme="majorBidi" w:eastAsiaTheme="majorEastAsia"/>
      <w:i w:val="1"/>
      <w:iCs w:val="1"/>
      <w:color w:val="2F5496" w:themeColor="accent1" w:themeShade="BF"/>
    </w:rPr>
  </w:style>
  <w:style w:type="paragraph" w:styleId="P5">
    <w:name w:val="Heading 5"/>
    <w:basedOn w:val="P0"/>
    <w:next w:val="P0"/>
    <w:link w:val="C7"/>
    <w:semiHidden/>
    <w:qFormat/>
    <w:pPr>
      <w:keepNext w:val="1"/>
      <w:keepLines w:val="1"/>
      <w:spacing w:before="80" w:after="40" w:beforeAutospacing="0" w:afterAutospacing="0"/>
      <w:outlineLvl w:val="4"/>
    </w:pPr>
    <w:rPr>
      <w:rFonts w:cstheme="majorBidi" w:eastAsiaTheme="majorEastAsia"/>
      <w:color w:val="2F5496" w:themeColor="accent1" w:themeShade="BF"/>
    </w:rPr>
  </w:style>
  <w:style w:type="paragraph" w:styleId="P6">
    <w:name w:val="Heading 6"/>
    <w:basedOn w:val="P0"/>
    <w:next w:val="P0"/>
    <w:link w:val="C8"/>
    <w:semiHidden/>
    <w:qFormat/>
    <w:pPr>
      <w:keepNext w:val="1"/>
      <w:keepLines w:val="1"/>
      <w:spacing w:before="40" w:beforeAutospacing="0" w:afterAutospacing="0"/>
      <w:outlineLvl w:val="5"/>
    </w:pPr>
    <w:rPr>
      <w:rFonts w:cstheme="majorBidi" w:eastAsiaTheme="majorEastAsia"/>
      <w:i w:val="1"/>
      <w:iCs w:val="1"/>
      <w:color w:val="595959" w:themeColor="text1" w:themeTint="A6"/>
    </w:rPr>
  </w:style>
  <w:style w:type="paragraph" w:styleId="P7">
    <w:name w:val="Heading 7"/>
    <w:basedOn w:val="P0"/>
    <w:next w:val="P0"/>
    <w:link w:val="C9"/>
    <w:semiHidden/>
    <w:qFormat/>
    <w:pPr>
      <w:keepNext w:val="1"/>
      <w:keepLines w:val="1"/>
      <w:spacing w:before="40" w:beforeAutospacing="0" w:afterAutospacing="0"/>
      <w:outlineLvl w:val="6"/>
    </w:pPr>
    <w:rPr>
      <w:rFonts w:cstheme="majorBidi" w:eastAsiaTheme="majorEastAsia"/>
      <w:color w:val="595959" w:themeColor="text1" w:themeTint="A6"/>
    </w:rPr>
  </w:style>
  <w:style w:type="paragraph" w:styleId="P8">
    <w:name w:val="Heading 8"/>
    <w:basedOn w:val="P0"/>
    <w:next w:val="P0"/>
    <w:link w:val="C10"/>
    <w:semiHidden/>
    <w:qFormat/>
    <w:pPr>
      <w:keepNext w:val="1"/>
      <w:keepLines w:val="1"/>
      <w:spacing w:before="0" w:beforeAutospacing="0" w:afterAutospacing="0"/>
      <w:outlineLvl w:val="7"/>
    </w:pPr>
    <w:rPr>
      <w:rFonts w:cstheme="majorBidi" w:eastAsiaTheme="majorEastAsia"/>
      <w:i w:val="1"/>
      <w:iCs w:val="1"/>
      <w:color w:val="272727" w:themeColor="text1" w:themeTint="D8"/>
    </w:rPr>
  </w:style>
  <w:style w:type="paragraph" w:styleId="P9">
    <w:name w:val="Heading 9"/>
    <w:basedOn w:val="P0"/>
    <w:next w:val="P0"/>
    <w:link w:val="C11"/>
    <w:semiHidden/>
    <w:qFormat/>
    <w:pPr>
      <w:keepNext w:val="1"/>
      <w:keepLines w:val="1"/>
      <w:spacing w:before="0" w:beforeAutospacing="0" w:afterAutospacing="0"/>
      <w:outlineLvl w:val="8"/>
    </w:pPr>
    <w:rPr>
      <w:rFonts w:cstheme="majorBidi" w:eastAsiaTheme="majorEastAsia"/>
      <w:color w:val="272727" w:themeColor="text1" w:themeTint="D8"/>
    </w:rPr>
  </w:style>
  <w:style w:type="paragraph" w:styleId="P10">
    <w:name w:val="Title"/>
    <w:basedOn w:val="P0"/>
    <w:next w:val="P0"/>
    <w:link w:val="C12"/>
    <w:qFormat/>
    <w:pPr>
      <w:spacing w:before="0" w:after="80" w:beforeAutospacing="0" w:afterAutospacing="0"/>
      <w:contextualSpacing w:val="1"/>
    </w:pPr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paragraph" w:styleId="P11">
    <w:name w:val="Subtitle"/>
    <w:basedOn w:val="P0"/>
    <w:next w:val="P0"/>
    <w:link w:val="C13"/>
    <w:qFormat/>
    <w:pPr>
      <w:spacing w:after="160" w:beforeAutospacing="0" w:afterAutospacing="0"/>
      <w:ind w:left="1701"/>
    </w:pPr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paragraph" w:styleId="P12">
    <w:name w:val="Quote"/>
    <w:basedOn w:val="P0"/>
    <w:next w:val="P0"/>
    <w:link w:val="C14"/>
    <w:qFormat/>
    <w:pPr>
      <w:spacing w:before="160" w:after="160" w:beforeAutospacing="0" w:afterAutospacing="0"/>
      <w:jc w:val="center"/>
    </w:pPr>
    <w:rPr>
      <w:i w:val="1"/>
      <w:iCs w:val="1"/>
      <w:color w:val="404040" w:themeColor="text1" w:themeTint="BF"/>
    </w:rPr>
  </w:style>
  <w:style w:type="paragraph" w:styleId="P13">
    <w:name w:val="List Paragraph"/>
    <w:basedOn w:val="P0"/>
    <w:qFormat/>
    <w:pPr>
      <w:ind w:left="720"/>
      <w:contextualSpacing w:val="1"/>
    </w:pPr>
    <w:rPr/>
  </w:style>
  <w:style w:type="paragraph" w:styleId="P14">
    <w:name w:val="Intense Quote"/>
    <w:basedOn w:val="P0"/>
    <w:next w:val="P0"/>
    <w:link w:val="C16"/>
    <w:qFormat/>
    <w:pPr>
      <w:pBdr>
        <w:top w:val="single" w:sz="4" w:space="10" w:shadow="0" w:frame="0" w:color="2F5496" w:themeColor="accent1" w:themeShade="BF"/>
        <w:left w:val="none" w:sz="0" w:space="0" w:shadow="0" w:frame="0" w:color="auto"/>
        <w:bottom w:val="single" w:sz="4" w:space="10" w:shadow="0" w:frame="0" w:color="2F5496" w:themeColor="accent1" w:themeShade="BF"/>
        <w:right w:val="none" w:sz="0" w:space="0" w:shadow="0" w:frame="0" w:color="auto"/>
        <w:between w:val="none" w:sz="0" w:space="0" w:shadow="0" w:frame="0" w:color="auto"/>
      </w:pBdr>
      <w:spacing w:before="360" w:after="360" w:beforeAutospacing="0" w:afterAutospacing="0"/>
      <w:ind w:left="864" w:right="864"/>
      <w:jc w:val="center"/>
    </w:pPr>
    <w:rPr>
      <w:i w:val="1"/>
      <w:iCs w:val="1"/>
      <w:color w:val="2F5496" w:themeColor="accent1" w:themeShade="BF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Titolo 1 Carattere"/>
    <w:basedOn w:val="C0"/>
    <w:link w:val="P1"/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character" w:styleId="C4">
    <w:name w:val="Titolo 2 Carattere"/>
    <w:basedOn w:val="C0"/>
    <w:link w:val="P2"/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character" w:styleId="C5">
    <w:name w:val="Titolo 3 Carattere"/>
    <w:basedOn w:val="C0"/>
    <w:link w:val="P3"/>
    <w:semiHidden/>
    <w:rPr>
      <w:rFonts w:cstheme="majorBidi" w:eastAsiaTheme="majorEastAsia"/>
      <w:color w:val="2F5496" w:themeColor="accent1" w:themeShade="BF"/>
      <w:sz w:val="28"/>
      <w:szCs w:val="28"/>
    </w:rPr>
  </w:style>
  <w:style w:type="character" w:styleId="C6">
    <w:name w:val="Titolo 4 Carattere"/>
    <w:basedOn w:val="C0"/>
    <w:link w:val="P4"/>
    <w:semiHidden/>
    <w:rPr>
      <w:rFonts w:cstheme="majorBidi" w:eastAsiaTheme="majorEastAsia"/>
      <w:i w:val="1"/>
      <w:iCs w:val="1"/>
      <w:color w:val="2F5496" w:themeColor="accent1" w:themeShade="BF"/>
    </w:rPr>
  </w:style>
  <w:style w:type="character" w:styleId="C7">
    <w:name w:val="Titolo 5 Carattere"/>
    <w:basedOn w:val="C0"/>
    <w:link w:val="P5"/>
    <w:semiHidden/>
    <w:rPr>
      <w:rFonts w:cstheme="majorBidi" w:eastAsiaTheme="majorEastAsia"/>
      <w:color w:val="2F5496" w:themeColor="accent1" w:themeShade="BF"/>
    </w:rPr>
  </w:style>
  <w:style w:type="character" w:styleId="C8">
    <w:name w:val="Titolo 6 Carattere"/>
    <w:basedOn w:val="C0"/>
    <w:link w:val="P6"/>
    <w:semiHidden/>
    <w:rPr>
      <w:rFonts w:cstheme="majorBidi" w:eastAsiaTheme="majorEastAsia"/>
      <w:i w:val="1"/>
      <w:iCs w:val="1"/>
      <w:color w:val="595959" w:themeColor="text1" w:themeTint="A6"/>
    </w:rPr>
  </w:style>
  <w:style w:type="character" w:styleId="C9">
    <w:name w:val="Titolo 7 Carattere"/>
    <w:basedOn w:val="C0"/>
    <w:link w:val="P7"/>
    <w:semiHidden/>
    <w:rPr>
      <w:rFonts w:cstheme="majorBidi" w:eastAsiaTheme="majorEastAsia"/>
      <w:color w:val="595959" w:themeColor="text1" w:themeTint="A6"/>
    </w:rPr>
  </w:style>
  <w:style w:type="character" w:styleId="C10">
    <w:name w:val="Titolo 8 Carattere"/>
    <w:basedOn w:val="C0"/>
    <w:link w:val="P8"/>
    <w:semiHidden/>
    <w:rPr>
      <w:rFonts w:cstheme="majorBidi" w:eastAsiaTheme="majorEastAsia"/>
      <w:i w:val="1"/>
      <w:iCs w:val="1"/>
      <w:color w:val="272727" w:themeColor="text1" w:themeTint="D8"/>
    </w:rPr>
  </w:style>
  <w:style w:type="character" w:styleId="C11">
    <w:name w:val="Titolo 9 Carattere"/>
    <w:basedOn w:val="C0"/>
    <w:link w:val="P9"/>
    <w:semiHidden/>
    <w:rPr>
      <w:rFonts w:cstheme="majorBidi" w:eastAsiaTheme="majorEastAsia"/>
      <w:color w:val="272727" w:themeColor="text1" w:themeTint="D8"/>
    </w:rPr>
  </w:style>
  <w:style w:type="character" w:styleId="C12">
    <w:name w:val="Titolo Carattere"/>
    <w:basedOn w:val="C0"/>
    <w:link w:val="P10"/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character" w:styleId="C13">
    <w:name w:val="Sottotitolo Carattere"/>
    <w:basedOn w:val="C0"/>
    <w:link w:val="P11"/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character" w:styleId="C14">
    <w:name w:val="Citazione Carattere"/>
    <w:basedOn w:val="C0"/>
    <w:link w:val="P12"/>
    <w:rPr>
      <w:i w:val="1"/>
      <w:iCs w:val="1"/>
      <w:color w:val="404040" w:themeColor="text1" w:themeTint="BF"/>
    </w:rPr>
  </w:style>
  <w:style w:type="character" w:styleId="C15">
    <w:name w:val="Intense Emphasis"/>
    <w:basedOn w:val="C0"/>
    <w:qFormat/>
    <w:rPr>
      <w:i w:val="1"/>
      <w:iCs w:val="1"/>
      <w:color w:val="2F5496" w:themeColor="accent1" w:themeShade="BF"/>
    </w:rPr>
  </w:style>
  <w:style w:type="character" w:styleId="C16">
    <w:name w:val="Citazione intensa Carattere"/>
    <w:basedOn w:val="C0"/>
    <w:link w:val="P14"/>
    <w:rPr>
      <w:i w:val="1"/>
      <w:iCs w:val="1"/>
      <w:color w:val="2F5496" w:themeColor="accent1" w:themeShade="BF"/>
    </w:rPr>
  </w:style>
  <w:style w:type="character" w:styleId="C17">
    <w:name w:val="Intense Reference1"/>
    <w:basedOn w:val="C0"/>
    <w:qFormat/>
    <w:rPr>
      <w:b w:val="1"/>
      <w:bCs w:val="1"/>
      <w:smallCaps w:val="1"/>
      <w:color w:val="2F5496" w:themeColor="accent1" w:themeShade="BF"/>
      <w:spacing w:val="5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API/22.1.4.0</Application>
  <AppVersion>22.1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Daniele Ferlito</dc:creator>
  <dcterms:created xsi:type="dcterms:W3CDTF">2025-12-03T07:59:52Z</dcterms:created>
  <dcterms:modified xsi:type="dcterms:W3CDTF">2025-12-03T07:59:52Z</dcterms:modified>
  <cp:revision>2</cp:revision>
</cp:coreProperties>
</file>